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5E5E2">
      <w:pPr>
        <w:spacing w:after="0" w:line="620" w:lineRule="exact"/>
        <w:rPr>
          <w:rFonts w:hint="eastAsia" w:ascii="黑体" w:hAnsi="黑体" w:eastAsia="黑体" w:cs="黑体"/>
          <w:sz w:val="32"/>
          <w:szCs w:val="32"/>
        </w:rPr>
      </w:pPr>
      <w:bookmarkStart w:id="7" w:name="_GoBack"/>
      <w:bookmarkEnd w:id="7"/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7430D109">
      <w:pPr>
        <w:spacing w:after="0" w:line="62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2026年全省纺织行业职工职业技能大赛</w:t>
      </w:r>
    </w:p>
    <w:p w14:paraId="0FD0407B">
      <w:pPr>
        <w:spacing w:after="0" w:line="62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参赛选手登记表</w:t>
      </w:r>
    </w:p>
    <w:tbl>
      <w:tblPr>
        <w:tblStyle w:val="17"/>
        <w:tblW w:w="86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0"/>
        <w:gridCol w:w="1634"/>
        <w:gridCol w:w="894"/>
        <w:gridCol w:w="270"/>
        <w:gridCol w:w="1536"/>
        <w:gridCol w:w="308"/>
        <w:gridCol w:w="2475"/>
      </w:tblGrid>
      <w:tr w14:paraId="12C05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66C0D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  <w:r>
              <w:rPr>
                <w:rFonts w:ascii="Times New Roman" w:hAnsi="Times New Roman" w:eastAsia="仿宋" w:cs="仿宋"/>
              </w:rPr>
              <w:t>姓    名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BFF7E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</w:p>
        </w:tc>
        <w:tc>
          <w:tcPr>
            <w:tcW w:w="1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57DA3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  <w:r>
              <w:rPr>
                <w:rFonts w:ascii="Times New Roman" w:hAnsi="Times New Roman" w:eastAsia="仿宋" w:cs="仿宋"/>
              </w:rPr>
              <w:t>性别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1893E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</w:p>
        </w:tc>
        <w:tc>
          <w:tcPr>
            <w:tcW w:w="24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ADDBF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  <w:r>
              <w:rPr>
                <w:rFonts w:ascii="Times New Roman" w:hAnsi="Times New Roman" w:eastAsia="仿宋" w:cs="仿宋"/>
              </w:rPr>
              <w:t>彩印照片</w:t>
            </w:r>
          </w:p>
          <w:p w14:paraId="3979DA81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  <w:r>
              <w:rPr>
                <w:rFonts w:ascii="Times New Roman" w:hAnsi="Times New Roman" w:eastAsia="仿宋" w:cs="仿宋"/>
              </w:rPr>
              <w:t>（2寸）</w:t>
            </w:r>
          </w:p>
        </w:tc>
      </w:tr>
      <w:tr w14:paraId="775B5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9C2DB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  <w:r>
              <w:rPr>
                <w:rFonts w:ascii="Times New Roman" w:hAnsi="Times New Roman" w:eastAsia="仿宋" w:cs="仿宋"/>
              </w:rPr>
              <w:t>民    族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54251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</w:p>
        </w:tc>
        <w:tc>
          <w:tcPr>
            <w:tcW w:w="116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4FE19E2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  <w:r>
              <w:rPr>
                <w:rFonts w:ascii="Times New Roman" w:hAnsi="Times New Roman" w:eastAsia="仿宋" w:cs="仿宋"/>
              </w:rPr>
              <w:t>年龄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33C1B3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</w:p>
        </w:tc>
        <w:tc>
          <w:tcPr>
            <w:tcW w:w="24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ADE9F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</w:p>
        </w:tc>
      </w:tr>
      <w:tr w14:paraId="35FF1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885E5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  <w:r>
              <w:rPr>
                <w:rFonts w:ascii="Times New Roman" w:hAnsi="Times New Roman" w:eastAsia="仿宋" w:cs="仿宋"/>
              </w:rPr>
              <w:t>单    位</w:t>
            </w:r>
          </w:p>
        </w:tc>
        <w:tc>
          <w:tcPr>
            <w:tcW w:w="46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56541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</w:p>
        </w:tc>
        <w:tc>
          <w:tcPr>
            <w:tcW w:w="24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A37E4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</w:p>
        </w:tc>
      </w:tr>
      <w:tr w14:paraId="2C967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7AA1E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  <w:r>
              <w:rPr>
                <w:rFonts w:ascii="Times New Roman" w:hAnsi="Times New Roman" w:eastAsia="仿宋" w:cs="仿宋"/>
              </w:rPr>
              <w:t>职    务</w:t>
            </w:r>
          </w:p>
        </w:tc>
        <w:tc>
          <w:tcPr>
            <w:tcW w:w="46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6090E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</w:p>
        </w:tc>
        <w:tc>
          <w:tcPr>
            <w:tcW w:w="24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634DB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</w:p>
        </w:tc>
      </w:tr>
      <w:tr w14:paraId="7C5D4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C7971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  <w:r>
              <w:rPr>
                <w:rFonts w:ascii="Times New Roman" w:hAnsi="Times New Roman" w:eastAsia="仿宋" w:cs="仿宋"/>
              </w:rPr>
              <w:t>职业等级</w:t>
            </w:r>
          </w:p>
        </w:tc>
        <w:tc>
          <w:tcPr>
            <w:tcW w:w="2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BA2EA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5D40E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  <w:r>
              <w:rPr>
                <w:rFonts w:ascii="Times New Roman" w:hAnsi="Times New Roman" w:eastAsia="仿宋" w:cs="仿宋"/>
              </w:rPr>
              <w:t>学    历</w:t>
            </w:r>
          </w:p>
        </w:tc>
        <w:tc>
          <w:tcPr>
            <w:tcW w:w="2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51041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</w:p>
        </w:tc>
      </w:tr>
      <w:tr w14:paraId="25ACA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5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514DF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  <w:r>
              <w:rPr>
                <w:rFonts w:ascii="Times New Roman" w:hAnsi="Times New Roman" w:eastAsia="仿宋" w:cs="仿宋"/>
              </w:rPr>
              <w:t>身份证号</w:t>
            </w:r>
          </w:p>
        </w:tc>
        <w:tc>
          <w:tcPr>
            <w:tcW w:w="2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E84A7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</w:p>
        </w:tc>
        <w:tc>
          <w:tcPr>
            <w:tcW w:w="1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3EC1D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  <w:r>
              <w:rPr>
                <w:rFonts w:ascii="Times New Roman" w:hAnsi="Times New Roman" w:eastAsia="仿宋" w:cs="仿宋"/>
              </w:rPr>
              <w:t>手机号码</w:t>
            </w:r>
          </w:p>
        </w:tc>
        <w:tc>
          <w:tcPr>
            <w:tcW w:w="27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5C828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</w:p>
        </w:tc>
      </w:tr>
      <w:tr w14:paraId="1EEE1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863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2A202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  <w:r>
              <w:rPr>
                <w:rFonts w:ascii="Times New Roman" w:hAnsi="Times New Roman" w:eastAsia="仿宋" w:cs="仿宋"/>
              </w:rPr>
              <w:t>个人工作、学习简历</w:t>
            </w:r>
          </w:p>
        </w:tc>
      </w:tr>
      <w:tr w14:paraId="2D449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2" w:hRule="atLeast"/>
        </w:trPr>
        <w:tc>
          <w:tcPr>
            <w:tcW w:w="863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77D09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</w:p>
        </w:tc>
      </w:tr>
      <w:tr w14:paraId="600AF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8" w:hRule="atLeast"/>
        </w:trPr>
        <w:tc>
          <w:tcPr>
            <w:tcW w:w="4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BB54A1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  <w:r>
              <w:rPr>
                <w:rFonts w:ascii="Times New Roman" w:hAnsi="Times New Roman" w:eastAsia="仿宋" w:cs="仿宋"/>
              </w:rPr>
              <w:t>推荐单位意见</w:t>
            </w:r>
          </w:p>
          <w:p w14:paraId="1CAA7CE8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</w:p>
          <w:p w14:paraId="538690A5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</w:p>
          <w:p w14:paraId="6C67E4E7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  <w:r>
              <w:rPr>
                <w:rFonts w:ascii="Times New Roman" w:hAnsi="Times New Roman" w:eastAsia="仿宋" w:cs="仿宋"/>
              </w:rPr>
              <w:t>（盖章）202</w:t>
            </w:r>
            <w:r>
              <w:rPr>
                <w:rFonts w:hint="eastAsia" w:ascii="Times New Roman" w:hAnsi="Times New Roman" w:eastAsia="仿宋" w:cs="仿宋"/>
              </w:rPr>
              <w:t>6</w:t>
            </w:r>
            <w:r>
              <w:rPr>
                <w:rFonts w:ascii="Times New Roman" w:hAnsi="Times New Roman" w:eastAsia="仿宋" w:cs="仿宋"/>
              </w:rPr>
              <w:t>年   月   日</w:t>
            </w:r>
          </w:p>
        </w:tc>
        <w:tc>
          <w:tcPr>
            <w:tcW w:w="43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C55F63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  <w:r>
              <w:rPr>
                <w:rFonts w:ascii="Times New Roman" w:hAnsi="Times New Roman" w:eastAsia="仿宋" w:cs="仿宋"/>
              </w:rPr>
              <w:t>赛事组委会意见</w:t>
            </w:r>
          </w:p>
          <w:p w14:paraId="76E94156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</w:p>
          <w:p w14:paraId="6D7C816B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</w:p>
          <w:p w14:paraId="5C7DC567">
            <w:pPr>
              <w:spacing w:after="0" w:line="620" w:lineRule="exact"/>
              <w:rPr>
                <w:rFonts w:ascii="Times New Roman" w:hAnsi="Times New Roman" w:eastAsia="仿宋" w:cs="仿宋"/>
              </w:rPr>
            </w:pPr>
            <w:r>
              <w:rPr>
                <w:rFonts w:ascii="Times New Roman" w:hAnsi="Times New Roman" w:eastAsia="仿宋" w:cs="仿宋"/>
              </w:rPr>
              <w:t>（盖章）202</w:t>
            </w:r>
            <w:r>
              <w:rPr>
                <w:rFonts w:hint="eastAsia" w:ascii="Times New Roman" w:hAnsi="Times New Roman" w:eastAsia="仿宋" w:cs="仿宋"/>
              </w:rPr>
              <w:t>6</w:t>
            </w:r>
            <w:r>
              <w:rPr>
                <w:rFonts w:ascii="Times New Roman" w:hAnsi="Times New Roman" w:eastAsia="仿宋" w:cs="仿宋"/>
              </w:rPr>
              <w:t>年   月   日</w:t>
            </w:r>
          </w:p>
        </w:tc>
      </w:tr>
    </w:tbl>
    <w:p w14:paraId="1ECDC056">
      <w:pPr>
        <w:spacing w:after="0" w:line="620" w:lineRule="exact"/>
        <w:rPr>
          <w:rFonts w:ascii="Times New Roman" w:hAnsi="Times New Roman" w:eastAsia="仿宋" w:cs="仿宋"/>
        </w:rPr>
        <w:sectPr>
          <w:footerReference r:id="rId5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tbl>
      <w:tblPr>
        <w:tblStyle w:val="16"/>
        <w:tblW w:w="1557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79"/>
      </w:tblGrid>
      <w:tr w14:paraId="1204B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55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586374">
            <w:pPr>
              <w:spacing w:after="0" w:line="620" w:lineRule="exact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附件2</w:t>
            </w:r>
          </w:p>
          <w:p w14:paraId="17EC4C88">
            <w:pPr>
              <w:spacing w:after="0" w:line="620" w:lineRule="exact"/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</w:pPr>
            <w:r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  <w:t>2026年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全</w:t>
            </w:r>
            <w:r>
              <w:rPr>
                <w:rFonts w:ascii="方正小标宋简体" w:hAnsi="方正小标宋简体" w:eastAsia="方正小标宋简体" w:cs="方正小标宋简体"/>
                <w:sz w:val="44"/>
                <w:szCs w:val="44"/>
              </w:rPr>
              <w:t>省纺织行业职工职业技能大赛组队报名表</w:t>
            </w:r>
          </w:p>
          <w:p w14:paraId="5F40CCC1">
            <w:pPr>
              <w:spacing w:after="0" w:line="620" w:lineRule="exact"/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</w:pPr>
          </w:p>
          <w:p w14:paraId="53FBEFAA">
            <w:pPr>
              <w:spacing w:after="0" w:line="620" w:lineRule="exact"/>
              <w:rPr>
                <w:rFonts w:hint="eastAsia" w:ascii="仿宋" w:hAnsi="仿宋" w:eastAsia="仿宋" w:cs="方正小标宋简体"/>
                <w:sz w:val="44"/>
                <w:szCs w:val="44"/>
                <w:u w:val="single"/>
              </w:rPr>
            </w:pPr>
            <w:r>
              <w:rPr>
                <w:rFonts w:ascii="仿宋" w:hAnsi="仿宋" w:eastAsia="仿宋" w:cs="方正小标宋简体"/>
                <w:sz w:val="32"/>
                <w:szCs w:val="32"/>
              </w:rPr>
              <w:t xml:space="preserve">填报单位：   </w:t>
            </w:r>
            <w:r>
              <w:rPr>
                <w:rFonts w:hint="eastAsia" w:ascii="仿宋" w:hAnsi="仿宋" w:eastAsia="仿宋" w:cs="方正小标宋简体"/>
                <w:sz w:val="32"/>
                <w:szCs w:val="32"/>
              </w:rPr>
              <w:t xml:space="preserve">                    </w:t>
            </w:r>
            <w:r>
              <w:rPr>
                <w:rFonts w:ascii="仿宋" w:hAnsi="仿宋" w:eastAsia="仿宋" w:cs="方正小标宋简体"/>
                <w:sz w:val="32"/>
                <w:szCs w:val="32"/>
              </w:rPr>
              <w:t>填报人：</w:t>
            </w:r>
            <w:r>
              <w:rPr>
                <w:rFonts w:hint="eastAsia" w:ascii="仿宋" w:hAnsi="仿宋" w:eastAsia="仿宋" w:cs="方正小标宋简体"/>
                <w:sz w:val="32"/>
                <w:szCs w:val="32"/>
              </w:rPr>
              <w:t xml:space="preserve">                         </w:t>
            </w:r>
            <w:r>
              <w:rPr>
                <w:rFonts w:ascii="仿宋" w:hAnsi="仿宋" w:eastAsia="仿宋" w:cs="方正小标宋简体"/>
                <w:sz w:val="32"/>
                <w:szCs w:val="32"/>
              </w:rPr>
              <w:t xml:space="preserve">联系电话：  </w:t>
            </w:r>
            <w:r>
              <w:rPr>
                <w:rFonts w:ascii="仿宋" w:hAnsi="仿宋" w:eastAsia="仿宋" w:cs="方正小标宋简体"/>
                <w:sz w:val="44"/>
                <w:szCs w:val="44"/>
              </w:rPr>
              <w:t xml:space="preserve">                      </w:t>
            </w:r>
          </w:p>
          <w:tbl>
            <w:tblPr>
              <w:tblStyle w:val="17"/>
              <w:tblW w:w="0" w:type="auto"/>
              <w:tblInd w:w="8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32"/>
              <w:gridCol w:w="1217"/>
              <w:gridCol w:w="912"/>
              <w:gridCol w:w="2131"/>
              <w:gridCol w:w="1217"/>
              <w:gridCol w:w="2788"/>
              <w:gridCol w:w="1168"/>
              <w:gridCol w:w="1899"/>
              <w:gridCol w:w="1534"/>
              <w:gridCol w:w="1534"/>
            </w:tblGrid>
            <w:tr w14:paraId="5314E2D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50" w:hRule="atLeast"/>
              </w:trPr>
              <w:tc>
                <w:tcPr>
                  <w:tcW w:w="932" w:type="dxa"/>
                  <w:vAlign w:val="center"/>
                </w:tcPr>
                <w:p w14:paraId="032627A6">
                  <w:pPr>
                    <w:spacing w:after="0" w:line="40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  <w:t>参赛身份</w:t>
                  </w:r>
                </w:p>
              </w:tc>
              <w:tc>
                <w:tcPr>
                  <w:tcW w:w="1217" w:type="dxa"/>
                  <w:vAlign w:val="center"/>
                </w:tcPr>
                <w:p w14:paraId="69CBCB71">
                  <w:pPr>
                    <w:spacing w:after="0" w:line="40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  <w:t>姓名</w:t>
                  </w:r>
                </w:p>
              </w:tc>
              <w:tc>
                <w:tcPr>
                  <w:tcW w:w="912" w:type="dxa"/>
                  <w:vAlign w:val="center"/>
                </w:tcPr>
                <w:p w14:paraId="4A489A79">
                  <w:pPr>
                    <w:spacing w:after="0" w:line="40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  <w:t>性别</w:t>
                  </w:r>
                </w:p>
              </w:tc>
              <w:tc>
                <w:tcPr>
                  <w:tcW w:w="2131" w:type="dxa"/>
                  <w:vAlign w:val="center"/>
                </w:tcPr>
                <w:p w14:paraId="5E5AFE6E">
                  <w:pPr>
                    <w:spacing w:after="0" w:line="40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  <w:t>工作单位（精准到公司/分公司级）</w:t>
                  </w:r>
                </w:p>
              </w:tc>
              <w:tc>
                <w:tcPr>
                  <w:tcW w:w="1217" w:type="dxa"/>
                  <w:vAlign w:val="center"/>
                </w:tcPr>
                <w:p w14:paraId="63DFA012">
                  <w:pPr>
                    <w:spacing w:after="0" w:line="40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  <w:t>职务</w:t>
                  </w:r>
                </w:p>
              </w:tc>
              <w:tc>
                <w:tcPr>
                  <w:tcW w:w="2788" w:type="dxa"/>
                  <w:vAlign w:val="center"/>
                </w:tcPr>
                <w:p w14:paraId="150CB1C7">
                  <w:pPr>
                    <w:spacing w:after="0" w:line="40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  <w:t>身份证号</w:t>
                  </w:r>
                </w:p>
              </w:tc>
              <w:tc>
                <w:tcPr>
                  <w:tcW w:w="1168" w:type="dxa"/>
                  <w:vAlign w:val="center"/>
                </w:tcPr>
                <w:p w14:paraId="230CCD9A">
                  <w:pPr>
                    <w:spacing w:after="0" w:line="40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  <w:t>所在单</w:t>
                  </w:r>
                </w:p>
                <w:p w14:paraId="3D384A2A">
                  <w:pPr>
                    <w:spacing w:after="0" w:line="40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  <w:t>位类型</w:t>
                  </w:r>
                </w:p>
              </w:tc>
              <w:tc>
                <w:tcPr>
                  <w:tcW w:w="1899" w:type="dxa"/>
                  <w:vAlign w:val="center"/>
                </w:tcPr>
                <w:p w14:paraId="3381F018">
                  <w:pPr>
                    <w:spacing w:after="0" w:line="40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  <w:t>手机号码</w:t>
                  </w:r>
                </w:p>
              </w:tc>
              <w:tc>
                <w:tcPr>
                  <w:tcW w:w="1534" w:type="dxa"/>
                  <w:vAlign w:val="center"/>
                </w:tcPr>
                <w:p w14:paraId="1AE4A376">
                  <w:pPr>
                    <w:spacing w:after="0" w:line="40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  <w:t>银行卡号</w:t>
                  </w:r>
                </w:p>
              </w:tc>
              <w:tc>
                <w:tcPr>
                  <w:tcW w:w="1534" w:type="dxa"/>
                  <w:vAlign w:val="center"/>
                </w:tcPr>
                <w:p w14:paraId="505F9812">
                  <w:pPr>
                    <w:spacing w:after="0" w:line="40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  <w:t>开户行</w:t>
                  </w:r>
                </w:p>
                <w:p w14:paraId="7E59B8D6">
                  <w:pPr>
                    <w:spacing w:after="0" w:line="40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  <w:t>（支行）</w:t>
                  </w:r>
                </w:p>
              </w:tc>
            </w:tr>
            <w:tr w14:paraId="51DF262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8" w:hRule="atLeast"/>
              </w:trPr>
              <w:tc>
                <w:tcPr>
                  <w:tcW w:w="932" w:type="dxa"/>
                  <w:vAlign w:val="center"/>
                </w:tcPr>
                <w:p w14:paraId="634EA6DF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  <w:t>领队</w:t>
                  </w:r>
                </w:p>
              </w:tc>
              <w:tc>
                <w:tcPr>
                  <w:tcW w:w="1217" w:type="dxa"/>
                  <w:vAlign w:val="center"/>
                </w:tcPr>
                <w:p w14:paraId="5B649A44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912" w:type="dxa"/>
                  <w:vAlign w:val="center"/>
                </w:tcPr>
                <w:p w14:paraId="3D7F1A10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2131" w:type="dxa"/>
                  <w:vAlign w:val="center"/>
                </w:tcPr>
                <w:p w14:paraId="5017BF36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1217" w:type="dxa"/>
                  <w:vAlign w:val="center"/>
                </w:tcPr>
                <w:p w14:paraId="3A0F6DEF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2788" w:type="dxa"/>
                  <w:vAlign w:val="center"/>
                </w:tcPr>
                <w:p w14:paraId="7CF93234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1168" w:type="dxa"/>
                  <w:vAlign w:val="center"/>
                </w:tcPr>
                <w:p w14:paraId="7F07E08F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1899" w:type="dxa"/>
                  <w:vAlign w:val="center"/>
                </w:tcPr>
                <w:p w14:paraId="6C3ECEE6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1534" w:type="dxa"/>
                  <w:vAlign w:val="center"/>
                </w:tcPr>
                <w:p w14:paraId="40943E9F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1534" w:type="dxa"/>
                  <w:vAlign w:val="center"/>
                </w:tcPr>
                <w:p w14:paraId="1233375A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</w:tr>
            <w:tr w14:paraId="3E1F2BD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8" w:hRule="atLeast"/>
              </w:trPr>
              <w:tc>
                <w:tcPr>
                  <w:tcW w:w="932" w:type="dxa"/>
                  <w:vAlign w:val="center"/>
                </w:tcPr>
                <w:p w14:paraId="78C77151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  <w:t>选手</w:t>
                  </w:r>
                </w:p>
              </w:tc>
              <w:tc>
                <w:tcPr>
                  <w:tcW w:w="1217" w:type="dxa"/>
                  <w:vAlign w:val="center"/>
                </w:tcPr>
                <w:p w14:paraId="165337C0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912" w:type="dxa"/>
                  <w:vAlign w:val="center"/>
                </w:tcPr>
                <w:p w14:paraId="118E7607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2131" w:type="dxa"/>
                  <w:vAlign w:val="center"/>
                </w:tcPr>
                <w:p w14:paraId="2152A3A4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1217" w:type="dxa"/>
                  <w:vAlign w:val="center"/>
                </w:tcPr>
                <w:p w14:paraId="7A5C8DC9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2788" w:type="dxa"/>
                  <w:vAlign w:val="center"/>
                </w:tcPr>
                <w:p w14:paraId="4BB85599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1168" w:type="dxa"/>
                  <w:vAlign w:val="center"/>
                </w:tcPr>
                <w:p w14:paraId="79B8B8E7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1899" w:type="dxa"/>
                  <w:vAlign w:val="center"/>
                </w:tcPr>
                <w:p w14:paraId="3E9A6C74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1534" w:type="dxa"/>
                  <w:vAlign w:val="center"/>
                </w:tcPr>
                <w:p w14:paraId="453F85C4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1534" w:type="dxa"/>
                  <w:vAlign w:val="center"/>
                </w:tcPr>
                <w:p w14:paraId="30FB9210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</w:tr>
            <w:tr w14:paraId="03771AC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63" w:hRule="atLeast"/>
              </w:trPr>
              <w:tc>
                <w:tcPr>
                  <w:tcW w:w="932" w:type="dxa"/>
                  <w:vAlign w:val="center"/>
                </w:tcPr>
                <w:p w14:paraId="4CE150D0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  <w:t>选手</w:t>
                  </w:r>
                </w:p>
              </w:tc>
              <w:tc>
                <w:tcPr>
                  <w:tcW w:w="1217" w:type="dxa"/>
                  <w:vAlign w:val="center"/>
                </w:tcPr>
                <w:p w14:paraId="7AE60B82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912" w:type="dxa"/>
                  <w:vAlign w:val="center"/>
                </w:tcPr>
                <w:p w14:paraId="66547329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2131" w:type="dxa"/>
                  <w:vAlign w:val="center"/>
                </w:tcPr>
                <w:p w14:paraId="50D2CC54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1217" w:type="dxa"/>
                  <w:vAlign w:val="center"/>
                </w:tcPr>
                <w:p w14:paraId="41F58397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2788" w:type="dxa"/>
                  <w:vAlign w:val="center"/>
                </w:tcPr>
                <w:p w14:paraId="02C5FFDE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1168" w:type="dxa"/>
                  <w:vAlign w:val="center"/>
                </w:tcPr>
                <w:p w14:paraId="00F58A1F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1899" w:type="dxa"/>
                  <w:vAlign w:val="center"/>
                </w:tcPr>
                <w:p w14:paraId="66C069A7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1534" w:type="dxa"/>
                  <w:vAlign w:val="center"/>
                </w:tcPr>
                <w:p w14:paraId="7EA22AD0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1534" w:type="dxa"/>
                  <w:vAlign w:val="center"/>
                </w:tcPr>
                <w:p w14:paraId="2E516407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</w:tr>
            <w:tr w14:paraId="744BDDA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8" w:hRule="atLeast"/>
              </w:trPr>
              <w:tc>
                <w:tcPr>
                  <w:tcW w:w="932" w:type="dxa"/>
                  <w:vAlign w:val="center"/>
                </w:tcPr>
                <w:p w14:paraId="0B4A89DA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1217" w:type="dxa"/>
                  <w:vAlign w:val="center"/>
                </w:tcPr>
                <w:p w14:paraId="45972FF6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912" w:type="dxa"/>
                  <w:vAlign w:val="center"/>
                </w:tcPr>
                <w:p w14:paraId="5417B9F2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2131" w:type="dxa"/>
                  <w:vAlign w:val="center"/>
                </w:tcPr>
                <w:p w14:paraId="2D4560FE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1217" w:type="dxa"/>
                  <w:vAlign w:val="center"/>
                </w:tcPr>
                <w:p w14:paraId="59A6AF36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2788" w:type="dxa"/>
                  <w:vAlign w:val="center"/>
                </w:tcPr>
                <w:p w14:paraId="6A9C9AA2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1168" w:type="dxa"/>
                  <w:vAlign w:val="center"/>
                </w:tcPr>
                <w:p w14:paraId="14E527E6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1899" w:type="dxa"/>
                  <w:vAlign w:val="center"/>
                </w:tcPr>
                <w:p w14:paraId="36385D60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1534" w:type="dxa"/>
                  <w:vAlign w:val="center"/>
                </w:tcPr>
                <w:p w14:paraId="2B62F5E8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1534" w:type="dxa"/>
                  <w:vAlign w:val="center"/>
                </w:tcPr>
                <w:p w14:paraId="0E808A72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</w:tr>
            <w:tr w14:paraId="467B85C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63" w:hRule="atLeast"/>
              </w:trPr>
              <w:tc>
                <w:tcPr>
                  <w:tcW w:w="932" w:type="dxa"/>
                  <w:vAlign w:val="center"/>
                </w:tcPr>
                <w:p w14:paraId="1D823565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1217" w:type="dxa"/>
                  <w:vAlign w:val="center"/>
                </w:tcPr>
                <w:p w14:paraId="27471752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912" w:type="dxa"/>
                  <w:vAlign w:val="center"/>
                </w:tcPr>
                <w:p w14:paraId="6D565E08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2131" w:type="dxa"/>
                  <w:vAlign w:val="center"/>
                </w:tcPr>
                <w:p w14:paraId="2562506B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1217" w:type="dxa"/>
                  <w:vAlign w:val="center"/>
                </w:tcPr>
                <w:p w14:paraId="47B3E7EC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2788" w:type="dxa"/>
                  <w:vAlign w:val="center"/>
                </w:tcPr>
                <w:p w14:paraId="5BD51469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1168" w:type="dxa"/>
                  <w:vAlign w:val="center"/>
                </w:tcPr>
                <w:p w14:paraId="187CEB85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1899" w:type="dxa"/>
                  <w:vAlign w:val="center"/>
                </w:tcPr>
                <w:p w14:paraId="0B640BF6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1534" w:type="dxa"/>
                  <w:vAlign w:val="center"/>
                </w:tcPr>
                <w:p w14:paraId="182B8A27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  <w:tc>
                <w:tcPr>
                  <w:tcW w:w="1534" w:type="dxa"/>
                  <w:vAlign w:val="center"/>
                </w:tcPr>
                <w:p w14:paraId="595FACF8">
                  <w:pPr>
                    <w:spacing w:after="0" w:line="620" w:lineRule="exact"/>
                    <w:jc w:val="center"/>
                    <w:rPr>
                      <w:rFonts w:hint="eastAsia" w:ascii="仿宋" w:hAnsi="仿宋" w:eastAsia="仿宋" w:cs="方正小标宋简体"/>
                      <w:sz w:val="28"/>
                      <w:szCs w:val="28"/>
                    </w:rPr>
                  </w:pPr>
                </w:p>
              </w:tc>
            </w:tr>
          </w:tbl>
          <w:p w14:paraId="0BC7FB6A">
            <w:pPr>
              <w:spacing w:after="0" w:line="620" w:lineRule="exact"/>
              <w:rPr>
                <w:rFonts w:ascii="Times New Roman" w:hAnsi="Times New Roman" w:eastAsia="仿宋" w:cs="仿宋"/>
                <w:b/>
                <w:bCs/>
              </w:rPr>
            </w:pPr>
          </w:p>
        </w:tc>
      </w:tr>
    </w:tbl>
    <w:p w14:paraId="59C6E315">
      <w:pPr>
        <w:spacing w:after="0" w:line="620" w:lineRule="exact"/>
        <w:rPr>
          <w:rFonts w:ascii="Times New Roman" w:hAnsi="Times New Roman" w:eastAsia="仿宋" w:cs="仿宋"/>
        </w:rPr>
        <w:sectPr>
          <w:pgSz w:w="16838" w:h="11906" w:orient="landscape"/>
          <w:pgMar w:top="1797" w:right="1440" w:bottom="1797" w:left="1440" w:header="851" w:footer="992" w:gutter="0"/>
          <w:cols w:space="425" w:num="1"/>
          <w:docGrid w:type="linesAndChars" w:linePitch="312" w:charSpace="0"/>
        </w:sectPr>
      </w:pPr>
    </w:p>
    <w:p w14:paraId="3E02889A">
      <w:pPr>
        <w:spacing w:after="0" w:line="620" w:lineRule="exact"/>
        <w:rPr>
          <w:rFonts w:ascii="Times New Roman" w:hAnsi="Times New Roman" w:eastAsia="仿宋" w:cs="仿宋"/>
          <w:bCs/>
          <w:color w:val="000000"/>
          <w:sz w:val="32"/>
          <w:szCs w:val="32"/>
        </w:rPr>
      </w:pPr>
      <w:bookmarkStart w:id="0" w:name="OLE_LINK14"/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附件3</w:t>
      </w:r>
    </w:p>
    <w:p w14:paraId="023F4BF9">
      <w:pPr>
        <w:spacing w:after="0" w:line="620" w:lineRule="exact"/>
        <w:jc w:val="center"/>
        <w:rPr>
          <w:rFonts w:ascii="Times New Roman" w:hAnsi="Times New Roman" w:eastAsia="仿宋" w:cs="仿宋"/>
          <w:bCs/>
          <w:color w:val="000000"/>
          <w:sz w:val="44"/>
          <w:szCs w:val="44"/>
        </w:rPr>
      </w:pPr>
    </w:p>
    <w:p w14:paraId="515242A2">
      <w:pPr>
        <w:spacing w:after="0" w:line="62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2026年全省纺织行业职工职业技能大赛</w:t>
      </w:r>
    </w:p>
    <w:p w14:paraId="5BD31D04">
      <w:pPr>
        <w:spacing w:after="0" w:line="62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</w:rPr>
        <w:t>技术文件</w:t>
      </w:r>
    </w:p>
    <w:bookmarkEnd w:id="0"/>
    <w:p w14:paraId="4D0CFCF7">
      <w:pPr>
        <w:keepNext/>
        <w:spacing w:after="0" w:line="620" w:lineRule="exact"/>
        <w:rPr>
          <w:rFonts w:ascii="Times New Roman" w:hAnsi="Times New Roman" w:eastAsia="仿宋" w:cs="仿宋"/>
          <w:b/>
          <w:color w:val="000000"/>
          <w:sz w:val="32"/>
        </w:rPr>
      </w:pPr>
    </w:p>
    <w:p w14:paraId="065179C2">
      <w:pPr>
        <w:keepNext/>
        <w:spacing w:after="0" w:line="620" w:lineRule="exact"/>
        <w:ind w:firstLine="640" w:firstLineChars="200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一、技术描述</w:t>
      </w:r>
    </w:p>
    <w:p w14:paraId="7EB8BBC6">
      <w:pPr>
        <w:keepNext/>
        <w:spacing w:after="0" w:line="620" w:lineRule="exact"/>
        <w:ind w:firstLine="640" w:firstLineChars="200"/>
        <w:rPr>
          <w:rFonts w:hint="eastAsia" w:ascii="楷体" w:hAnsi="楷体" w:eastAsia="楷体" w:cs="楷体"/>
          <w:bCs/>
          <w:sz w:val="32"/>
          <w:szCs w:val="32"/>
        </w:rPr>
      </w:pPr>
      <w:r>
        <w:rPr>
          <w:rFonts w:hint="eastAsia" w:ascii="楷体" w:hAnsi="楷体" w:eastAsia="楷体" w:cs="楷体"/>
          <w:bCs/>
          <w:color w:val="000000"/>
          <w:sz w:val="32"/>
          <w:szCs w:val="32"/>
        </w:rPr>
        <w:t>（一）项目概要</w:t>
      </w:r>
    </w:p>
    <w:p w14:paraId="100892E5">
      <w:pPr>
        <w:spacing w:after="0" w:line="620" w:lineRule="exact"/>
        <w:ind w:firstLine="640" w:firstLineChars="20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辽绣是辽宁代表性非遗传统技艺，在传承地域文化、丰富纺织文化产品、带动文旅产业方面作用重要。当前行业对兼具传统针法功底、文化理解与现代创作能力的刺绣技能人才需求持续扩大。举办本次刺绣职工职业技能大赛，旨在弘扬非遗技艺，选拔辽宁刺绣高技能人才，推动辽绣技艺创新发展。</w:t>
      </w:r>
    </w:p>
    <w:p w14:paraId="33F80753">
      <w:pPr>
        <w:spacing w:after="0" w:line="620" w:lineRule="exact"/>
        <w:ind w:firstLine="640" w:firstLineChars="20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刺绣从业人员须掌握刺绣历史文化、各类传统与现代针法、色彩搭配、底料与绣线材料特性，具备纹样解读、手工刺绣实操、作品创意创作等综合能力。</w:t>
      </w:r>
    </w:p>
    <w:p w14:paraId="4D3DD477">
      <w:pPr>
        <w:spacing w:after="0" w:line="620" w:lineRule="exact"/>
        <w:ind w:firstLine="640" w:firstLineChars="20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本次竞赛面向省内刺绣在职职工，对标</w:t>
      </w:r>
      <w:bookmarkStart w:id="1" w:name="OLE_LINK12"/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抽纱刺绣工</w:t>
      </w:r>
      <w:bookmarkEnd w:id="1"/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国家职业标准高级工及以上能力要求，完整考核理论知识和现场刺绣实操两个环节，采用单人独立竞赛模式。</w:t>
      </w:r>
    </w:p>
    <w:p w14:paraId="580CC6D9">
      <w:pPr>
        <w:keepNext/>
        <w:spacing w:after="0" w:line="620" w:lineRule="exact"/>
        <w:ind w:firstLine="640" w:firstLineChars="200"/>
        <w:rPr>
          <w:rFonts w:hint="eastAsia" w:ascii="楷体" w:hAnsi="楷体" w:eastAsia="楷体" w:cs="楷体"/>
          <w:bCs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Cs/>
          <w:color w:val="000000"/>
          <w:sz w:val="32"/>
          <w:szCs w:val="32"/>
        </w:rPr>
        <w:t>（二）基本知识及能力要求</w:t>
      </w:r>
    </w:p>
    <w:p w14:paraId="7D356911">
      <w:pPr>
        <w:spacing w:after="0" w:line="620" w:lineRule="exact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本赛项对选手理论知识、工作能力的要求及权重比例如下表：</w:t>
      </w:r>
    </w:p>
    <w:tbl>
      <w:tblPr>
        <w:tblStyle w:val="16"/>
        <w:tblW w:w="974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222"/>
        <w:gridCol w:w="5954"/>
        <w:gridCol w:w="1754"/>
      </w:tblGrid>
      <w:tr w14:paraId="679B9D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tblHeader/>
          <w:jc w:val="center"/>
        </w:trPr>
        <w:tc>
          <w:tcPr>
            <w:tcW w:w="817" w:type="dxa"/>
            <w:shd w:val="clear" w:color="auto" w:fill="D9D9D9"/>
            <w:vAlign w:val="center"/>
          </w:tcPr>
          <w:p w14:paraId="050CA325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b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b/>
                <w:color w:val="000000"/>
                <w:sz w:val="24"/>
                <w:szCs w:val="28"/>
              </w:rPr>
              <w:t>序号</w:t>
            </w:r>
          </w:p>
        </w:tc>
        <w:tc>
          <w:tcPr>
            <w:tcW w:w="1222" w:type="dxa"/>
            <w:shd w:val="clear" w:color="auto" w:fill="D9D9D9"/>
            <w:vAlign w:val="center"/>
          </w:tcPr>
          <w:p w14:paraId="50DB808E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b/>
                <w:color w:val="000000"/>
                <w:sz w:val="24"/>
                <w:szCs w:val="28"/>
              </w:rPr>
              <w:t>相关要求</w:t>
            </w:r>
          </w:p>
        </w:tc>
        <w:tc>
          <w:tcPr>
            <w:tcW w:w="5954" w:type="dxa"/>
            <w:shd w:val="clear" w:color="auto" w:fill="D9D9D9"/>
            <w:vAlign w:val="center"/>
          </w:tcPr>
          <w:p w14:paraId="0FDFB7AF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b/>
                <w:color w:val="000000"/>
                <w:sz w:val="24"/>
                <w:szCs w:val="28"/>
              </w:rPr>
              <w:t>细分内容</w:t>
            </w:r>
          </w:p>
        </w:tc>
        <w:tc>
          <w:tcPr>
            <w:tcW w:w="1754" w:type="dxa"/>
            <w:shd w:val="clear" w:color="auto" w:fill="D9D9D9"/>
            <w:vAlign w:val="center"/>
          </w:tcPr>
          <w:p w14:paraId="14965DDD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b/>
                <w:color w:val="000000"/>
                <w:sz w:val="24"/>
                <w:szCs w:val="28"/>
              </w:rPr>
              <w:t>权重比例(%)</w:t>
            </w:r>
          </w:p>
        </w:tc>
      </w:tr>
      <w:tr w14:paraId="337CC8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2" w:hRule="atLeast"/>
          <w:jc w:val="center"/>
        </w:trPr>
        <w:tc>
          <w:tcPr>
            <w:tcW w:w="817" w:type="dxa"/>
            <w:vAlign w:val="center"/>
          </w:tcPr>
          <w:p w14:paraId="580896F3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1</w:t>
            </w:r>
          </w:p>
        </w:tc>
        <w:tc>
          <w:tcPr>
            <w:tcW w:w="1222" w:type="dxa"/>
            <w:vAlign w:val="center"/>
          </w:tcPr>
          <w:p w14:paraId="5C93D047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职业素养</w:t>
            </w:r>
          </w:p>
        </w:tc>
        <w:tc>
          <w:tcPr>
            <w:tcW w:w="5954" w:type="dxa"/>
            <w:vAlign w:val="center"/>
          </w:tcPr>
          <w:p w14:paraId="2DAA1221">
            <w:pPr>
              <w:spacing w:after="0" w:line="620" w:lineRule="exact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bookmarkStart w:id="2" w:name="OLE_LINK1"/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——</w:t>
            </w:r>
            <w:bookmarkEnd w:id="2"/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掌握纺织行业术语、辽绣非遗历史与地域文化；</w:t>
            </w:r>
          </w:p>
          <w:p w14:paraId="708649C3">
            <w:pPr>
              <w:spacing w:after="0" w:line="620" w:lineRule="exact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——熟悉底料、绣线、辅料材质特点及用途；</w:t>
            </w:r>
          </w:p>
          <w:p w14:paraId="6AC8AC82">
            <w:pPr>
              <w:spacing w:after="0" w:line="620" w:lineRule="exact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——了解工坊生产与创作流程；</w:t>
            </w:r>
          </w:p>
          <w:p w14:paraId="2F8EDC02">
            <w:pPr>
              <w:spacing w:after="0" w:line="620" w:lineRule="exact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——具备成本控制意识；</w:t>
            </w:r>
          </w:p>
          <w:p w14:paraId="169AF80B">
            <w:pPr>
              <w:spacing w:after="0" w:line="620" w:lineRule="exact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——掌握手工工具保养维护知识；</w:t>
            </w:r>
          </w:p>
          <w:p w14:paraId="522A8421">
            <w:pPr>
              <w:spacing w:after="0" w:line="620" w:lineRule="exact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——具备审美与色彩搭配能力；</w:t>
            </w:r>
          </w:p>
          <w:p w14:paraId="441BC06D">
            <w:pPr>
              <w:spacing w:after="0" w:line="620" w:lineRule="exact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bookmarkStart w:id="3" w:name="OLE_LINK2"/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——</w:t>
            </w:r>
            <w:bookmarkEnd w:id="3"/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熟练使用绷架、绣针、剪刀等工具；</w:t>
            </w:r>
          </w:p>
          <w:p w14:paraId="77B1F8A6">
            <w:pPr>
              <w:spacing w:after="0" w:line="620" w:lineRule="exact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——遵守用电与尖锐工具安全规范；</w:t>
            </w:r>
          </w:p>
          <w:p w14:paraId="019CFD75">
            <w:pPr>
              <w:spacing w:after="0" w:line="620" w:lineRule="exact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——维护整洁工位；</w:t>
            </w:r>
          </w:p>
          <w:p w14:paraId="7EB41C6F">
            <w:pPr>
              <w:spacing w:after="0" w:line="620" w:lineRule="exact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——具有传承与创新学习能力。</w:t>
            </w:r>
          </w:p>
        </w:tc>
        <w:tc>
          <w:tcPr>
            <w:tcW w:w="1754" w:type="dxa"/>
            <w:vAlign w:val="center"/>
          </w:tcPr>
          <w:p w14:paraId="5EB3D199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10</w:t>
            </w:r>
          </w:p>
        </w:tc>
      </w:tr>
      <w:tr w14:paraId="68AD50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42" w:hRule="atLeast"/>
          <w:jc w:val="center"/>
        </w:trPr>
        <w:tc>
          <w:tcPr>
            <w:tcW w:w="817" w:type="dxa"/>
            <w:vAlign w:val="center"/>
          </w:tcPr>
          <w:p w14:paraId="55360178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2</w:t>
            </w:r>
          </w:p>
        </w:tc>
        <w:tc>
          <w:tcPr>
            <w:tcW w:w="1222" w:type="dxa"/>
            <w:vAlign w:val="center"/>
          </w:tcPr>
          <w:p w14:paraId="13E347B7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理论知识</w:t>
            </w:r>
          </w:p>
        </w:tc>
        <w:tc>
          <w:tcPr>
            <w:tcW w:w="5954" w:type="dxa"/>
            <w:vAlign w:val="center"/>
          </w:tcPr>
          <w:p w14:paraId="1142F945">
            <w:pPr>
              <w:spacing w:after="0" w:line="620" w:lineRule="exact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——掌握辽绣非遗文化、刺绣基础理论，以及平绣、乱针绣、打籽绣、盘金绣等针法原理；</w:t>
            </w:r>
          </w:p>
          <w:p w14:paraId="516191F9">
            <w:pPr>
              <w:spacing w:after="0" w:line="620" w:lineRule="exact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——掌握工艺规范、纹样构图基础；</w:t>
            </w:r>
          </w:p>
          <w:p w14:paraId="2729E95B">
            <w:pPr>
              <w:spacing w:after="0" w:line="620" w:lineRule="exact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——了解非遗创作理念与作品质量评判常识；</w:t>
            </w:r>
          </w:p>
          <w:p w14:paraId="0DEA111E">
            <w:pPr>
              <w:spacing w:after="0" w:line="620" w:lineRule="exact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——能准确理解专业概念、辨识针法工艺特点。</w:t>
            </w:r>
          </w:p>
        </w:tc>
        <w:tc>
          <w:tcPr>
            <w:tcW w:w="1754" w:type="dxa"/>
            <w:vAlign w:val="center"/>
          </w:tcPr>
          <w:p w14:paraId="679F6332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30</w:t>
            </w:r>
          </w:p>
        </w:tc>
      </w:tr>
      <w:tr w14:paraId="0D7AA2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7" w:hRule="atLeast"/>
          <w:jc w:val="center"/>
        </w:trPr>
        <w:tc>
          <w:tcPr>
            <w:tcW w:w="817" w:type="dxa"/>
            <w:vAlign w:val="center"/>
          </w:tcPr>
          <w:p w14:paraId="5C0767AC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3</w:t>
            </w:r>
          </w:p>
        </w:tc>
        <w:tc>
          <w:tcPr>
            <w:tcW w:w="1222" w:type="dxa"/>
            <w:vAlign w:val="center"/>
          </w:tcPr>
          <w:p w14:paraId="232112D1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现场技能实操</w:t>
            </w:r>
          </w:p>
        </w:tc>
        <w:tc>
          <w:tcPr>
            <w:tcW w:w="5954" w:type="dxa"/>
            <w:vAlign w:val="center"/>
          </w:tcPr>
          <w:p w14:paraId="46DBB3E4">
            <w:pPr>
              <w:spacing w:after="0" w:line="620" w:lineRule="exact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bookmarkStart w:id="4" w:name="OLE_LINK3"/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——</w:t>
            </w:r>
            <w:bookmarkEnd w:id="4"/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掌握命题线稿解读与构图分解、各类辽绣特色针法工艺要点、色彩过渡与配色原理、底料绷制与正反面工艺处理；</w:t>
            </w:r>
          </w:p>
          <w:p w14:paraId="7591151B">
            <w:pPr>
              <w:spacing w:after="0" w:line="620" w:lineRule="exact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——能熟练绷制绣料；</w:t>
            </w:r>
          </w:p>
          <w:p w14:paraId="59E3A07F">
            <w:pPr>
              <w:spacing w:after="0" w:line="620" w:lineRule="exact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——根据辽宁特色命题线稿灵活运用平绣、乱针绣、打籽绣、盘金绣等针法完成创作；</w:t>
            </w:r>
          </w:p>
          <w:p w14:paraId="0C91135D">
            <w:pPr>
              <w:spacing w:after="0" w:line="620" w:lineRule="exact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——线条流畅、色彩过渡自然、纹样还原准确；正反面工艺工整，无跳线、浮线、错针；规定时间内完成完整作品。</w:t>
            </w:r>
          </w:p>
        </w:tc>
        <w:tc>
          <w:tcPr>
            <w:tcW w:w="1754" w:type="dxa"/>
            <w:vAlign w:val="center"/>
          </w:tcPr>
          <w:p w14:paraId="34A0877D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60</w:t>
            </w:r>
          </w:p>
        </w:tc>
      </w:tr>
      <w:tr w14:paraId="01477D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  <w:jc w:val="center"/>
        </w:trPr>
        <w:tc>
          <w:tcPr>
            <w:tcW w:w="2039" w:type="dxa"/>
            <w:gridSpan w:val="2"/>
            <w:vAlign w:val="center"/>
          </w:tcPr>
          <w:p w14:paraId="34C44487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合计</w:t>
            </w:r>
          </w:p>
        </w:tc>
        <w:tc>
          <w:tcPr>
            <w:tcW w:w="5954" w:type="dxa"/>
            <w:vAlign w:val="center"/>
          </w:tcPr>
          <w:p w14:paraId="6885AF67">
            <w:pPr>
              <w:spacing w:after="0" w:line="620" w:lineRule="exact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</w:p>
        </w:tc>
        <w:tc>
          <w:tcPr>
            <w:tcW w:w="1754" w:type="dxa"/>
            <w:vAlign w:val="center"/>
          </w:tcPr>
          <w:p w14:paraId="6BA703BE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100</w:t>
            </w:r>
          </w:p>
        </w:tc>
      </w:tr>
    </w:tbl>
    <w:p w14:paraId="2EA63326">
      <w:pPr>
        <w:keepNext/>
        <w:spacing w:after="0" w:line="620" w:lineRule="exact"/>
        <w:ind w:firstLine="640" w:firstLineChars="200"/>
        <w:rPr>
          <w:rFonts w:hint="eastAsia"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二、试题及评判标准</w:t>
      </w:r>
    </w:p>
    <w:p w14:paraId="3905139F">
      <w:pPr>
        <w:keepNext/>
        <w:spacing w:after="0" w:line="620" w:lineRule="exact"/>
        <w:ind w:firstLine="640" w:firstLineChars="200"/>
        <w:rPr>
          <w:rFonts w:hint="eastAsia" w:ascii="楷体" w:hAnsi="楷体" w:eastAsia="楷体" w:cs="楷体"/>
          <w:bCs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Cs/>
          <w:color w:val="000000"/>
          <w:sz w:val="32"/>
          <w:szCs w:val="32"/>
        </w:rPr>
        <w:t>（一）竞赛试题内容</w:t>
      </w:r>
    </w:p>
    <w:p w14:paraId="12CE7F70">
      <w:pPr>
        <w:keepNext/>
        <w:spacing w:after="0" w:line="620" w:lineRule="exact"/>
        <w:ind w:firstLine="640" w:firstLineChars="20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1.基本内容</w:t>
      </w:r>
    </w:p>
    <w:p w14:paraId="16FB9E31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对标抽纱刺绣工国家职业技能标准高级工及以上要求编制试题。竞赛分为三个模块：模块A：理论知识考核；模块B：现场技能实操。</w:t>
      </w:r>
    </w:p>
    <w:p w14:paraId="4DF0819C">
      <w:pPr>
        <w:keepNext/>
        <w:spacing w:after="0" w:line="620" w:lineRule="exact"/>
        <w:ind w:firstLine="640" w:firstLineChars="20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2.试题命制</w:t>
      </w:r>
    </w:p>
    <w:p w14:paraId="1EA92646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（1）试题命制与保密：模块A理论试题赛前封闭命题；模块B实操命题赛前封闭命制、现场公布线稿。命题线稿备A、B两套，由裁判长监督，开赛前10分钟由选手代表或裁判长现场随机抽取一套作为本场正式命题。理论试卷、实操线稿及配套评分标准赛前严格保密。</w:t>
      </w:r>
    </w:p>
    <w:p w14:paraId="5A2E14C9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（2）正式试题发放：模块A理论试卷开赛前统一发放；模块B实操线稿现场抽取后统一发放，发放前不得拆封传阅。</w:t>
      </w:r>
    </w:p>
    <w:p w14:paraId="34E03631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（3）评分标准公布：评分分主观评价分与检测客观分，相应评分表在竞赛完成后分阶段交付对应裁判；选手不获知分值分布，保障评判独立公正。</w:t>
      </w:r>
    </w:p>
    <w:p w14:paraId="188BC11B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（4）试题修改范围：裁判长可在保证核心要素不变前提下，对命题纹样局部造型、配色提示进行不超过30%的修改，针法要求与评判维度保持不变。</w:t>
      </w:r>
    </w:p>
    <w:p w14:paraId="447BF157">
      <w:pPr>
        <w:keepNext/>
        <w:spacing w:after="0" w:line="620" w:lineRule="exact"/>
        <w:ind w:firstLine="640" w:firstLineChars="200"/>
        <w:rPr>
          <w:rFonts w:hint="eastAsia" w:ascii="楷体" w:hAnsi="楷体" w:eastAsia="楷体" w:cs="楷体"/>
          <w:bCs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Cs/>
          <w:color w:val="000000"/>
          <w:sz w:val="32"/>
          <w:szCs w:val="32"/>
        </w:rPr>
        <w:t>（二）比赛时间及试题具体内容</w:t>
      </w:r>
    </w:p>
    <w:p w14:paraId="61E669D9">
      <w:pPr>
        <w:keepNext/>
        <w:spacing w:after="0" w:line="620" w:lineRule="exact"/>
        <w:ind w:firstLine="640" w:firstLineChars="20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1.比赛时间安排</w:t>
      </w:r>
    </w:p>
    <w:tbl>
      <w:tblPr>
        <w:tblStyle w:val="16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694"/>
        <w:gridCol w:w="3534"/>
        <w:gridCol w:w="2187"/>
        <w:gridCol w:w="852"/>
      </w:tblGrid>
      <w:tr w14:paraId="6AC895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tblHeader/>
          <w:jc w:val="center"/>
        </w:trPr>
        <w:tc>
          <w:tcPr>
            <w:tcW w:w="795" w:type="dxa"/>
            <w:shd w:val="clear" w:color="auto" w:fill="D9D9D9"/>
            <w:vAlign w:val="center"/>
          </w:tcPr>
          <w:p w14:paraId="5F77A277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b/>
                <w:color w:val="000000"/>
                <w:sz w:val="24"/>
                <w:szCs w:val="28"/>
              </w:rPr>
              <w:t>模块</w:t>
            </w:r>
          </w:p>
        </w:tc>
        <w:tc>
          <w:tcPr>
            <w:tcW w:w="1694" w:type="dxa"/>
            <w:shd w:val="clear" w:color="auto" w:fill="D9D9D9"/>
            <w:vAlign w:val="center"/>
          </w:tcPr>
          <w:p w14:paraId="0BA09A02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b/>
                <w:color w:val="000000"/>
                <w:sz w:val="24"/>
                <w:szCs w:val="28"/>
              </w:rPr>
              <w:t>模块名称</w:t>
            </w:r>
          </w:p>
        </w:tc>
        <w:tc>
          <w:tcPr>
            <w:tcW w:w="3534" w:type="dxa"/>
            <w:shd w:val="clear" w:color="auto" w:fill="D9D9D9"/>
            <w:vAlign w:val="center"/>
          </w:tcPr>
          <w:p w14:paraId="2B40EBFC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b/>
                <w:color w:val="000000"/>
                <w:sz w:val="24"/>
                <w:szCs w:val="28"/>
              </w:rPr>
              <w:t>说明</w:t>
            </w:r>
          </w:p>
        </w:tc>
        <w:tc>
          <w:tcPr>
            <w:tcW w:w="2187" w:type="dxa"/>
            <w:shd w:val="clear" w:color="auto" w:fill="D9D9D9"/>
            <w:vAlign w:val="center"/>
          </w:tcPr>
          <w:p w14:paraId="74A9F14B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b/>
                <w:color w:val="000000"/>
                <w:sz w:val="24"/>
                <w:szCs w:val="28"/>
              </w:rPr>
              <w:t>竞赛时间（小时）</w:t>
            </w:r>
          </w:p>
        </w:tc>
        <w:tc>
          <w:tcPr>
            <w:tcW w:w="852" w:type="dxa"/>
            <w:shd w:val="clear" w:color="auto" w:fill="D9D9D9"/>
            <w:vAlign w:val="center"/>
          </w:tcPr>
          <w:p w14:paraId="369AC6C7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b/>
                <w:color w:val="000000"/>
                <w:sz w:val="24"/>
                <w:szCs w:val="28"/>
              </w:rPr>
              <w:t>分数</w:t>
            </w:r>
          </w:p>
        </w:tc>
      </w:tr>
      <w:tr w14:paraId="63075B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795" w:type="dxa"/>
            <w:vAlign w:val="center"/>
          </w:tcPr>
          <w:p w14:paraId="2C2CE344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A</w:t>
            </w:r>
          </w:p>
        </w:tc>
        <w:tc>
          <w:tcPr>
            <w:tcW w:w="1694" w:type="dxa"/>
            <w:vAlign w:val="center"/>
          </w:tcPr>
          <w:p w14:paraId="511781D7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理论知识考核</w:t>
            </w:r>
          </w:p>
        </w:tc>
        <w:tc>
          <w:tcPr>
            <w:tcW w:w="3534" w:type="dxa"/>
            <w:vAlign w:val="center"/>
          </w:tcPr>
          <w:p w14:paraId="0DDD02A7">
            <w:pPr>
              <w:spacing w:after="0" w:line="620" w:lineRule="exact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闭卷笔试，完成刺绣理论试卷</w:t>
            </w:r>
          </w:p>
        </w:tc>
        <w:tc>
          <w:tcPr>
            <w:tcW w:w="2187" w:type="dxa"/>
            <w:vAlign w:val="center"/>
          </w:tcPr>
          <w:p w14:paraId="72BB8992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1.5分钟</w:t>
            </w:r>
          </w:p>
        </w:tc>
        <w:tc>
          <w:tcPr>
            <w:tcW w:w="852" w:type="dxa"/>
            <w:vAlign w:val="center"/>
          </w:tcPr>
          <w:p w14:paraId="1F999C21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30</w:t>
            </w:r>
          </w:p>
        </w:tc>
      </w:tr>
      <w:tr w14:paraId="5396A1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1" w:hRule="atLeast"/>
          <w:jc w:val="center"/>
        </w:trPr>
        <w:tc>
          <w:tcPr>
            <w:tcW w:w="795" w:type="dxa"/>
            <w:vAlign w:val="center"/>
          </w:tcPr>
          <w:p w14:paraId="2C540251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B</w:t>
            </w:r>
          </w:p>
        </w:tc>
        <w:tc>
          <w:tcPr>
            <w:tcW w:w="1694" w:type="dxa"/>
            <w:vAlign w:val="center"/>
          </w:tcPr>
          <w:p w14:paraId="2DE99F70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现场技能实操</w:t>
            </w:r>
          </w:p>
        </w:tc>
        <w:tc>
          <w:tcPr>
            <w:tcW w:w="3534" w:type="dxa"/>
            <w:vAlign w:val="center"/>
          </w:tcPr>
          <w:p w14:paraId="7696667F">
            <w:pPr>
              <w:spacing w:after="0" w:line="620" w:lineRule="exact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根据现场抽取辽宁特色命题线稿完成刺绣创作</w:t>
            </w:r>
          </w:p>
        </w:tc>
        <w:tc>
          <w:tcPr>
            <w:tcW w:w="2187" w:type="dxa"/>
            <w:vAlign w:val="center"/>
          </w:tcPr>
          <w:p w14:paraId="02E71C0A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8小时</w:t>
            </w:r>
          </w:p>
        </w:tc>
        <w:tc>
          <w:tcPr>
            <w:tcW w:w="852" w:type="dxa"/>
            <w:vAlign w:val="center"/>
          </w:tcPr>
          <w:p w14:paraId="772B4F85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70</w:t>
            </w:r>
          </w:p>
        </w:tc>
      </w:tr>
      <w:tr w14:paraId="701DB3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6023" w:type="dxa"/>
            <w:gridSpan w:val="3"/>
            <w:vAlign w:val="center"/>
          </w:tcPr>
          <w:p w14:paraId="54C7F3AD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总计</w:t>
            </w:r>
          </w:p>
        </w:tc>
        <w:tc>
          <w:tcPr>
            <w:tcW w:w="2187" w:type="dxa"/>
            <w:vAlign w:val="center"/>
          </w:tcPr>
          <w:p w14:paraId="15DC2524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9.5</w:t>
            </w:r>
          </w:p>
        </w:tc>
        <w:tc>
          <w:tcPr>
            <w:tcW w:w="852" w:type="dxa"/>
            <w:vAlign w:val="center"/>
          </w:tcPr>
          <w:p w14:paraId="3989A222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100</w:t>
            </w:r>
          </w:p>
        </w:tc>
      </w:tr>
    </w:tbl>
    <w:p w14:paraId="3E890F81">
      <w:pPr>
        <w:spacing w:after="0" w:line="620" w:lineRule="exact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注：现场实操8小时，选手休息、饮水、如厕时间全部计入竞赛总时间。</w:t>
      </w:r>
    </w:p>
    <w:p w14:paraId="2B249DF5">
      <w:pPr>
        <w:keepNext/>
        <w:spacing w:after="0" w:line="620" w:lineRule="exact"/>
        <w:ind w:firstLine="640" w:firstLineChars="20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2.试题样题</w:t>
      </w:r>
    </w:p>
    <w:p w14:paraId="36CC8E88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模块A（理论知识考核）：闭卷笔试，满分30分。考核辽绣非遗文化、传统针法原理、工艺规范、纹样构图基础、非遗创作理念、刺绣材料知识。题型含单选、多选、判断、简答。</w:t>
      </w:r>
    </w:p>
    <w:p w14:paraId="6084B8AB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模块B（现场技能实操）：以辽宁地域特色为主题，命题线稿为丹顶鹤与渤海浪花组合纹样。使用赛场统一底料、绣绷、基础绣线，灵活运用平绣、乱针绣、打籽绣、盘金绣中至少三种辽绣特色针法完成创作；绷料平整，起针收针藏线规范；纹样主体忠于线稿，色彩可自主创意搭配。评判重点：针法熟练度、线条流畅、色彩过渡自然、正反面工艺整洁、题材契合辽宁特色、作品完整度。</w:t>
      </w:r>
    </w:p>
    <w:p w14:paraId="5EAD59FA">
      <w:pPr>
        <w:keepNext/>
        <w:spacing w:after="0" w:line="620" w:lineRule="exact"/>
        <w:ind w:firstLine="640" w:firstLineChars="200"/>
        <w:rPr>
          <w:rFonts w:hint="eastAsia" w:ascii="楷体" w:hAnsi="楷体" w:eastAsia="楷体" w:cs="楷体"/>
          <w:bCs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Cs/>
          <w:color w:val="000000"/>
          <w:sz w:val="32"/>
          <w:szCs w:val="32"/>
        </w:rPr>
        <w:t>（三）评判标准</w:t>
      </w:r>
    </w:p>
    <w:p w14:paraId="3B61AE34">
      <w:pPr>
        <w:keepNext/>
        <w:spacing w:after="0" w:line="620" w:lineRule="exact"/>
        <w:ind w:firstLine="640" w:firstLineChars="20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1.评判方法</w:t>
      </w:r>
    </w:p>
    <w:p w14:paraId="2D64C753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（1）主观分：3名裁判独立评分，相互分差须≤2分，超出分差须书面说明理由并由裁判长监督调分。打分权重等级如下：</w:t>
      </w:r>
    </w:p>
    <w:tbl>
      <w:tblPr>
        <w:tblStyle w:val="16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5"/>
        <w:gridCol w:w="7065"/>
      </w:tblGrid>
      <w:tr w14:paraId="39F374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tblHeader/>
          <w:jc w:val="center"/>
        </w:trPr>
        <w:tc>
          <w:tcPr>
            <w:tcW w:w="1765" w:type="dxa"/>
            <w:shd w:val="clear" w:color="auto" w:fill="D9D9D9"/>
            <w:vAlign w:val="center"/>
          </w:tcPr>
          <w:p w14:paraId="0E3F8B1B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b/>
                <w:color w:val="000000"/>
                <w:sz w:val="24"/>
                <w:szCs w:val="28"/>
              </w:rPr>
              <w:t>权重等级</w:t>
            </w:r>
          </w:p>
        </w:tc>
        <w:tc>
          <w:tcPr>
            <w:tcW w:w="7065" w:type="dxa"/>
            <w:shd w:val="clear" w:color="auto" w:fill="D9D9D9"/>
            <w:vAlign w:val="center"/>
          </w:tcPr>
          <w:p w14:paraId="36C83704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b/>
                <w:color w:val="000000"/>
                <w:sz w:val="24"/>
                <w:szCs w:val="28"/>
              </w:rPr>
              <w:t>要求描述</w:t>
            </w:r>
          </w:p>
        </w:tc>
      </w:tr>
      <w:tr w14:paraId="2D8CEC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765" w:type="dxa"/>
            <w:vAlign w:val="center"/>
          </w:tcPr>
          <w:p w14:paraId="4BD239CC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0</w:t>
            </w:r>
          </w:p>
        </w:tc>
        <w:tc>
          <w:tcPr>
            <w:tcW w:w="7065" w:type="dxa"/>
            <w:vAlign w:val="center"/>
          </w:tcPr>
          <w:p w14:paraId="5B00175B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各方面低于行业基本标准，存在大量工艺缺陷</w:t>
            </w:r>
          </w:p>
        </w:tc>
      </w:tr>
      <w:tr w14:paraId="08254A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65" w:type="dxa"/>
            <w:vAlign w:val="center"/>
          </w:tcPr>
          <w:p w14:paraId="1259E0AA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1</w:t>
            </w:r>
          </w:p>
        </w:tc>
        <w:tc>
          <w:tcPr>
            <w:tcW w:w="7065" w:type="dxa"/>
            <w:vAlign w:val="center"/>
          </w:tcPr>
          <w:p w14:paraId="1D0C9E65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达到行业基础工艺标准，完成竞赛任务</w:t>
            </w:r>
          </w:p>
        </w:tc>
      </w:tr>
      <w:tr w14:paraId="37C768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765" w:type="dxa"/>
            <w:vAlign w:val="center"/>
          </w:tcPr>
          <w:p w14:paraId="19B575F3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2</w:t>
            </w:r>
          </w:p>
        </w:tc>
        <w:tc>
          <w:tcPr>
            <w:tcW w:w="7065" w:type="dxa"/>
            <w:vAlign w:val="center"/>
          </w:tcPr>
          <w:p w14:paraId="617A9C34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达到行业标准，部分工艺、艺术表现优于普通水平</w:t>
            </w:r>
          </w:p>
        </w:tc>
      </w:tr>
      <w:tr w14:paraId="7A92F6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65" w:type="dxa"/>
            <w:vAlign w:val="center"/>
          </w:tcPr>
          <w:p w14:paraId="77F49F20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3</w:t>
            </w:r>
          </w:p>
        </w:tc>
        <w:tc>
          <w:tcPr>
            <w:tcW w:w="7065" w:type="dxa"/>
            <w:vAlign w:val="center"/>
          </w:tcPr>
          <w:p w14:paraId="7E897679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达到辽绣行业优秀水准，技艺精湛，艺术表现力突出</w:t>
            </w:r>
          </w:p>
        </w:tc>
      </w:tr>
    </w:tbl>
    <w:p w14:paraId="731586AD">
      <w:pPr>
        <w:spacing w:after="0" w:line="620" w:lineRule="exact"/>
        <w:rPr>
          <w:rFonts w:ascii="Times New Roman" w:hAnsi="Times New Roman" w:eastAsia="仿宋" w:cs="仿宋"/>
        </w:rPr>
      </w:pPr>
    </w:p>
    <w:p w14:paraId="1BDC8792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（2）客观分：裁判组共同核验，统计跳线、浮线、错针、绷料褶皱、尺寸偏差等工艺缺陷，达成统一共识后给出单一分值。全部模块评分表裁判员签字，全部成绩统计表全体裁判签字，裁判长签字备案。</w:t>
      </w:r>
    </w:p>
    <w:p w14:paraId="7649B517">
      <w:pPr>
        <w:keepNext/>
        <w:spacing w:after="0" w:line="620" w:lineRule="exact"/>
        <w:ind w:firstLine="640" w:firstLineChars="20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3.评判流程</w:t>
      </w:r>
    </w:p>
    <w:p w14:paraId="04B53762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（1）作品接收与编号：理论试卷、实操绣品、实物展示作品统一收集，隐去个人信息，加密编码后移交评判区，实物作品标签仅保留加密编号。</w:t>
      </w:r>
    </w:p>
    <w:p w14:paraId="371A602D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（2）裁判评判：测量客观核对尺寸、统计工艺缺陷、核对纹样轮廓偏差；主观评价对针法技艺、色彩艺术效果、文化创意独立打分。</w:t>
      </w:r>
    </w:p>
    <w:p w14:paraId="09E87352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（3）记录方式：评分手写于统一评分表，字迹清晰、禁止涂改；确需修改，修改处裁判员签字确认。</w:t>
      </w:r>
    </w:p>
    <w:p w14:paraId="359CC384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（4）成绩录入：纸质评分复核无误后录入竞赛系统，录入时至少2名裁判在场，录入后打印纸质版交裁判核对。</w:t>
      </w:r>
    </w:p>
    <w:p w14:paraId="5A0577AB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（5）数据确认签字：裁判逐项核对后签字确认，签字后成绩锁定，不得修改。</w:t>
      </w:r>
    </w:p>
    <w:p w14:paraId="1ECCB75C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（6）复核与仲裁：裁判长复核全部成绩；选手申诉由仲裁组调取原始评分表及作品核查。</w:t>
      </w:r>
    </w:p>
    <w:p w14:paraId="2EA30EE7">
      <w:pPr>
        <w:keepNext/>
        <w:spacing w:after="0" w:line="620" w:lineRule="exact"/>
        <w:ind w:firstLine="640" w:firstLineChars="20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4.成绩并列</w:t>
      </w:r>
    </w:p>
    <w:p w14:paraId="407F7C86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总分并列时，优先比较模块B现场技能实操分数，以此排序。</w:t>
      </w:r>
    </w:p>
    <w:p w14:paraId="75D8FAE4">
      <w:pPr>
        <w:keepNext/>
        <w:spacing w:after="0" w:line="620" w:lineRule="exact"/>
        <w:ind w:firstLine="640" w:firstLineChars="200"/>
        <w:rPr>
          <w:rFonts w:hint="eastAsia"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三、竞赛细则</w:t>
      </w:r>
    </w:p>
    <w:p w14:paraId="201DF158">
      <w:pPr>
        <w:keepNext/>
        <w:spacing w:after="0" w:line="620" w:lineRule="exact"/>
        <w:ind w:firstLine="640" w:firstLineChars="200"/>
        <w:rPr>
          <w:rFonts w:hint="eastAsia" w:ascii="楷体" w:hAnsi="楷体" w:eastAsia="楷体" w:cs="楷体"/>
          <w:bCs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Cs/>
          <w:color w:val="000000"/>
          <w:sz w:val="32"/>
          <w:szCs w:val="32"/>
        </w:rPr>
        <w:t>（一）选手纪律与要求</w:t>
      </w:r>
    </w:p>
    <w:p w14:paraId="37C081D4">
      <w:pPr>
        <w:keepNext/>
        <w:spacing w:after="0" w:line="620" w:lineRule="exact"/>
        <w:ind w:firstLine="640" w:firstLineChars="20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1.入场与准备</w:t>
      </w:r>
    </w:p>
    <w:p w14:paraId="6F417914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（1）凭参赛证及有效身份证件按时检录，迟到15分钟以上视为本模块弃权。</w:t>
      </w:r>
    </w:p>
    <w:p w14:paraId="3DCEF704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（2）入场安检，禁止携带手机、智能手表、存储设备等通讯电子产品。</w:t>
      </w:r>
    </w:p>
    <w:p w14:paraId="47E72CF1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（3）可携带清单允许的自备工具；禁止携带预绣半成品、纹样底稿打印件、参考画册、电子图片资料。</w:t>
      </w:r>
    </w:p>
    <w:p w14:paraId="3786D2BB">
      <w:pPr>
        <w:keepNext/>
        <w:spacing w:after="0" w:line="620" w:lineRule="exact"/>
        <w:ind w:firstLine="640" w:firstLineChars="20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2.比赛期间</w:t>
      </w:r>
    </w:p>
    <w:p w14:paraId="4A4F176A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（1）按抽签工位就位，不得私自调换；确需离开赛场（如如厕）须经裁判许可并由工作人员陪同，时间计入竞赛时长。</w:t>
      </w:r>
    </w:p>
    <w:p w14:paraId="57422249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（2）禁止选手之间交谈、传递工具物料。</w:t>
      </w:r>
    </w:p>
    <w:p w14:paraId="1F2A3020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（3）绷架、灯具等设备故障立即举手报告裁判，禁止自行拆卸维修。</w:t>
      </w:r>
    </w:p>
    <w:p w14:paraId="3084FACA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（4）爱护赛场统一提供的底料、绣线等耗材，禁止恶意浪费。</w:t>
      </w:r>
    </w:p>
    <w:p w14:paraId="7895F5F0">
      <w:pPr>
        <w:keepNext/>
        <w:spacing w:after="0" w:line="620" w:lineRule="exact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3.作品提交与离场</w:t>
      </w:r>
    </w:p>
    <w:p w14:paraId="2C09013C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（1）理论笔试铃响立即停笔；实操结束铃声响起立即停止刺绣，原地等候裁判指令提交试卷、绣品。</w:t>
      </w:r>
    </w:p>
    <w:p w14:paraId="708116D0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（2）提前完成实操任务举手示意裁判记录完成时间，签字确认后不得再触碰作品；须原地等候本场结束，不得擅自离场。</w:t>
      </w:r>
    </w:p>
    <w:p w14:paraId="2355165C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（3）所有提交试卷、绣品不得出现姓名、单位、工位号等身份标识，否则该模块记零分。</w:t>
      </w:r>
    </w:p>
    <w:p w14:paraId="12479760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（4）结束清理工位，归还赛场物料，经裁判确认方可离场。</w:t>
      </w:r>
    </w:p>
    <w:p w14:paraId="5F86EA15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（5）禁止将理论试卷、命题线稿、绣品半成品、剩余赛场物料带离赛场。</w:t>
      </w:r>
    </w:p>
    <w:p w14:paraId="55CF07E9">
      <w:pPr>
        <w:keepNext/>
        <w:spacing w:after="0" w:line="620" w:lineRule="exact"/>
        <w:ind w:firstLine="640" w:firstLineChars="200"/>
        <w:rPr>
          <w:rFonts w:hint="eastAsia" w:ascii="楷体" w:hAnsi="楷体" w:eastAsia="楷体" w:cs="楷体"/>
          <w:bCs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Cs/>
          <w:color w:val="000000"/>
          <w:sz w:val="32"/>
          <w:szCs w:val="32"/>
        </w:rPr>
        <w:t>（二）违规行为及处理办法</w:t>
      </w:r>
    </w:p>
    <w:p w14:paraId="026F5F26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1.携带手机、存储设备等违禁电子产品入场，取消本模块成绩；</w:t>
      </w:r>
    </w:p>
    <w:p w14:paraId="05A1DEB2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2.携带半成品、纹样参考资料入场，取消本模块成绩；</w:t>
      </w:r>
    </w:p>
    <w:p w14:paraId="2DE8F463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3.与其他选手交谈、传递物料工具，第一次警告，再次发生取消本模块成绩；</w:t>
      </w:r>
    </w:p>
    <w:p w14:paraId="5CF43A64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4.未经许可擅自离开工位或赛场，取消本模块成绩；</w:t>
      </w:r>
    </w:p>
    <w:p w14:paraId="20710761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5.提交作品带有个人身份识别标记，该模块记零分；</w:t>
      </w:r>
    </w:p>
    <w:p w14:paraId="2B34C565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6.将试卷、命题线稿、竞赛物料、半成品带离赛场，取消本次比赛全部资格；</w:t>
      </w:r>
    </w:p>
    <w:p w14:paraId="22856D2A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7.故意损坏赛场工具设备或他人参赛实物作品，取消比赛资格，并按价赔偿；</w:t>
      </w:r>
    </w:p>
    <w:p w14:paraId="73B9A3F2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8.顶替参赛、抄袭实物展示作品、作弊行为，取消全部参赛资格，并通报所在单位；</w:t>
      </w:r>
    </w:p>
    <w:p w14:paraId="33D363E4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9.拒不服从裁判指令，取消比赛资格。</w:t>
      </w:r>
    </w:p>
    <w:p w14:paraId="4FABE7BC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注：全部处理决定由裁判长裁定并签字；选手如有异议，按大赛申诉仲裁程序提交申诉。</w:t>
      </w:r>
    </w:p>
    <w:p w14:paraId="10E60332">
      <w:pPr>
        <w:keepNext/>
        <w:spacing w:after="0" w:line="620" w:lineRule="exact"/>
        <w:ind w:firstLine="640" w:firstLineChars="200"/>
        <w:rPr>
          <w:rFonts w:hint="eastAsia" w:ascii="楷体" w:hAnsi="楷体" w:eastAsia="楷体" w:cs="楷体"/>
          <w:bCs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Cs/>
          <w:color w:val="000000"/>
          <w:sz w:val="32"/>
          <w:szCs w:val="32"/>
        </w:rPr>
        <w:t>（三）比赛基本流程</w:t>
      </w:r>
    </w:p>
    <w:tbl>
      <w:tblPr>
        <w:tblStyle w:val="16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2"/>
        <w:gridCol w:w="1001"/>
        <w:gridCol w:w="1768"/>
        <w:gridCol w:w="5291"/>
      </w:tblGrid>
      <w:tr w14:paraId="5060E2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  <w:tblHeader/>
          <w:jc w:val="center"/>
        </w:trPr>
        <w:tc>
          <w:tcPr>
            <w:tcW w:w="1020" w:type="dxa"/>
            <w:shd w:val="clear" w:color="auto" w:fill="D9D9D9"/>
            <w:vAlign w:val="center"/>
          </w:tcPr>
          <w:p w14:paraId="63155E38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b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b/>
                <w:color w:val="000000"/>
                <w:sz w:val="24"/>
                <w:szCs w:val="28"/>
              </w:rPr>
              <w:t>序号</w:t>
            </w:r>
          </w:p>
        </w:tc>
        <w:tc>
          <w:tcPr>
            <w:tcW w:w="1019" w:type="dxa"/>
            <w:shd w:val="clear" w:color="auto" w:fill="D9D9D9"/>
            <w:vAlign w:val="center"/>
          </w:tcPr>
          <w:p w14:paraId="45CC6801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b/>
                <w:color w:val="000000"/>
                <w:sz w:val="24"/>
                <w:szCs w:val="28"/>
              </w:rPr>
              <w:t>阶段</w:t>
            </w:r>
          </w:p>
        </w:tc>
        <w:tc>
          <w:tcPr>
            <w:tcW w:w="1812" w:type="dxa"/>
            <w:shd w:val="clear" w:color="auto" w:fill="D9D9D9"/>
            <w:vAlign w:val="center"/>
          </w:tcPr>
          <w:p w14:paraId="4DBECA26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b/>
                <w:color w:val="000000"/>
                <w:sz w:val="24"/>
                <w:szCs w:val="28"/>
              </w:rPr>
              <w:t>工作项目</w:t>
            </w:r>
          </w:p>
        </w:tc>
        <w:tc>
          <w:tcPr>
            <w:tcW w:w="5437" w:type="dxa"/>
            <w:shd w:val="clear" w:color="auto" w:fill="D9D9D9"/>
            <w:vAlign w:val="center"/>
          </w:tcPr>
          <w:p w14:paraId="2B5E0134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b/>
                <w:color w:val="000000"/>
                <w:sz w:val="24"/>
                <w:szCs w:val="28"/>
              </w:rPr>
              <w:t>工作内容</w:t>
            </w:r>
          </w:p>
        </w:tc>
      </w:tr>
      <w:tr w14:paraId="27F635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8" w:hRule="atLeast"/>
          <w:jc w:val="center"/>
        </w:trPr>
        <w:tc>
          <w:tcPr>
            <w:tcW w:w="1020" w:type="dxa"/>
            <w:vMerge w:val="restart"/>
            <w:vAlign w:val="center"/>
          </w:tcPr>
          <w:p w14:paraId="2FEBE9E4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1</w:t>
            </w:r>
          </w:p>
        </w:tc>
        <w:tc>
          <w:tcPr>
            <w:tcW w:w="1019" w:type="dxa"/>
            <w:vMerge w:val="restart"/>
            <w:vAlign w:val="center"/>
          </w:tcPr>
          <w:p w14:paraId="08788CC0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赛前</w:t>
            </w:r>
          </w:p>
        </w:tc>
        <w:tc>
          <w:tcPr>
            <w:tcW w:w="1812" w:type="dxa"/>
            <w:vAlign w:val="center"/>
          </w:tcPr>
          <w:p w14:paraId="13BC48B7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赛前说明会</w:t>
            </w:r>
          </w:p>
        </w:tc>
        <w:tc>
          <w:tcPr>
            <w:tcW w:w="5437" w:type="dxa"/>
            <w:vAlign w:val="center"/>
          </w:tcPr>
          <w:p w14:paraId="393E5957">
            <w:pPr>
              <w:spacing w:after="0" w:line="620" w:lineRule="exact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裁判长组织裁判员、选手培训本技术文件、竞赛流程、评判标准及安全操作要求。</w:t>
            </w:r>
          </w:p>
        </w:tc>
      </w:tr>
      <w:tr w14:paraId="067643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8" w:hRule="atLeast"/>
          <w:jc w:val="center"/>
        </w:trPr>
        <w:tc>
          <w:tcPr>
            <w:tcW w:w="1020" w:type="dxa"/>
            <w:vMerge w:val="continue"/>
            <w:vAlign w:val="center"/>
          </w:tcPr>
          <w:p w14:paraId="2B75E3DF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</w:p>
        </w:tc>
        <w:tc>
          <w:tcPr>
            <w:tcW w:w="1019" w:type="dxa"/>
            <w:vMerge w:val="continue"/>
            <w:vAlign w:val="center"/>
          </w:tcPr>
          <w:p w14:paraId="64B3BA6D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</w:p>
        </w:tc>
        <w:tc>
          <w:tcPr>
            <w:tcW w:w="1812" w:type="dxa"/>
            <w:vAlign w:val="center"/>
          </w:tcPr>
          <w:p w14:paraId="5E03CE53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裁判分工</w:t>
            </w:r>
          </w:p>
        </w:tc>
        <w:tc>
          <w:tcPr>
            <w:tcW w:w="5437" w:type="dxa"/>
            <w:vAlign w:val="center"/>
          </w:tcPr>
          <w:p w14:paraId="530F211D">
            <w:pPr>
              <w:spacing w:after="0" w:line="620" w:lineRule="exact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确定裁判员各组分工。</w:t>
            </w:r>
          </w:p>
        </w:tc>
      </w:tr>
      <w:tr w14:paraId="52EB42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8" w:hRule="atLeast"/>
          <w:jc w:val="center"/>
        </w:trPr>
        <w:tc>
          <w:tcPr>
            <w:tcW w:w="1020" w:type="dxa"/>
            <w:vMerge w:val="continue"/>
            <w:vAlign w:val="center"/>
          </w:tcPr>
          <w:p w14:paraId="01F565AB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</w:p>
        </w:tc>
        <w:tc>
          <w:tcPr>
            <w:tcW w:w="1019" w:type="dxa"/>
            <w:vMerge w:val="continue"/>
            <w:vAlign w:val="center"/>
          </w:tcPr>
          <w:p w14:paraId="3E49FE9A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</w:p>
        </w:tc>
        <w:tc>
          <w:tcPr>
            <w:tcW w:w="1812" w:type="dxa"/>
            <w:vAlign w:val="center"/>
          </w:tcPr>
          <w:p w14:paraId="37B93D9A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选手抽签</w:t>
            </w:r>
          </w:p>
        </w:tc>
        <w:tc>
          <w:tcPr>
            <w:tcW w:w="5437" w:type="dxa"/>
            <w:vAlign w:val="center"/>
          </w:tcPr>
          <w:p w14:paraId="587D1DC0">
            <w:pPr>
              <w:spacing w:after="0" w:line="620" w:lineRule="exact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抽取场次、工位，检查自带工具，完成实物作品接收登记加密。</w:t>
            </w:r>
          </w:p>
        </w:tc>
      </w:tr>
      <w:tr w14:paraId="2B8460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8" w:hRule="atLeast"/>
          <w:jc w:val="center"/>
        </w:trPr>
        <w:tc>
          <w:tcPr>
            <w:tcW w:w="1020" w:type="dxa"/>
            <w:vMerge w:val="continue"/>
            <w:vAlign w:val="center"/>
          </w:tcPr>
          <w:p w14:paraId="26694D86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</w:p>
        </w:tc>
        <w:tc>
          <w:tcPr>
            <w:tcW w:w="1019" w:type="dxa"/>
            <w:vMerge w:val="continue"/>
            <w:vAlign w:val="center"/>
          </w:tcPr>
          <w:p w14:paraId="30CFD862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</w:p>
        </w:tc>
        <w:tc>
          <w:tcPr>
            <w:tcW w:w="1812" w:type="dxa"/>
            <w:vAlign w:val="center"/>
          </w:tcPr>
          <w:p w14:paraId="30AD051D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熟悉场地设备</w:t>
            </w:r>
          </w:p>
        </w:tc>
        <w:tc>
          <w:tcPr>
            <w:tcW w:w="5437" w:type="dxa"/>
            <w:vAlign w:val="center"/>
          </w:tcPr>
          <w:p w14:paraId="78A9F762">
            <w:pPr>
              <w:spacing w:after="0" w:line="620" w:lineRule="exact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提供不少于1小时熟悉时间；熟悉阶段禁止刺绣创作、禁止改动赛场设备。</w:t>
            </w:r>
          </w:p>
        </w:tc>
      </w:tr>
      <w:tr w14:paraId="7854F2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6" w:hRule="atLeast"/>
          <w:jc w:val="center"/>
        </w:trPr>
        <w:tc>
          <w:tcPr>
            <w:tcW w:w="1020" w:type="dxa"/>
            <w:vMerge w:val="restart"/>
            <w:vAlign w:val="center"/>
          </w:tcPr>
          <w:p w14:paraId="106CE4E5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2</w:t>
            </w:r>
          </w:p>
        </w:tc>
        <w:tc>
          <w:tcPr>
            <w:tcW w:w="1019" w:type="dxa"/>
            <w:vMerge w:val="restart"/>
            <w:vAlign w:val="center"/>
          </w:tcPr>
          <w:p w14:paraId="3C95EBC6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赛中</w:t>
            </w:r>
          </w:p>
        </w:tc>
        <w:tc>
          <w:tcPr>
            <w:tcW w:w="1812" w:type="dxa"/>
            <w:vAlign w:val="center"/>
          </w:tcPr>
          <w:p w14:paraId="5E82E8D0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赛前准备</w:t>
            </w:r>
          </w:p>
        </w:tc>
        <w:tc>
          <w:tcPr>
            <w:tcW w:w="5437" w:type="dxa"/>
            <w:vAlign w:val="center"/>
          </w:tcPr>
          <w:p w14:paraId="5F2A6441">
            <w:pPr>
              <w:spacing w:after="0" w:line="620" w:lineRule="exact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模块A选手检录入场；模块B开赛前10分钟现场抽取实操命题，发放线稿与物料。</w:t>
            </w:r>
          </w:p>
        </w:tc>
      </w:tr>
      <w:tr w14:paraId="38F340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6" w:hRule="atLeast"/>
          <w:jc w:val="center"/>
        </w:trPr>
        <w:tc>
          <w:tcPr>
            <w:tcW w:w="1020" w:type="dxa"/>
            <w:vMerge w:val="continue"/>
            <w:vAlign w:val="center"/>
          </w:tcPr>
          <w:p w14:paraId="6DED8665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</w:p>
        </w:tc>
        <w:tc>
          <w:tcPr>
            <w:tcW w:w="1019" w:type="dxa"/>
            <w:vMerge w:val="continue"/>
            <w:vAlign w:val="center"/>
          </w:tcPr>
          <w:p w14:paraId="4C49C49B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</w:p>
        </w:tc>
        <w:tc>
          <w:tcPr>
            <w:tcW w:w="1812" w:type="dxa"/>
            <w:vAlign w:val="center"/>
          </w:tcPr>
          <w:p w14:paraId="45084826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竞赛过程</w:t>
            </w:r>
          </w:p>
        </w:tc>
        <w:tc>
          <w:tcPr>
            <w:tcW w:w="5437" w:type="dxa"/>
            <w:vAlign w:val="center"/>
          </w:tcPr>
          <w:p w14:paraId="69C4AB79">
            <w:pPr>
              <w:spacing w:after="0" w:line="620" w:lineRule="exact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选手在规定时长内独立完成竞赛任务。</w:t>
            </w:r>
          </w:p>
        </w:tc>
      </w:tr>
      <w:tr w14:paraId="3AE792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6" w:hRule="atLeast"/>
          <w:jc w:val="center"/>
        </w:trPr>
        <w:tc>
          <w:tcPr>
            <w:tcW w:w="1020" w:type="dxa"/>
            <w:vMerge w:val="continue"/>
            <w:vAlign w:val="center"/>
          </w:tcPr>
          <w:p w14:paraId="67065457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</w:p>
        </w:tc>
        <w:tc>
          <w:tcPr>
            <w:tcW w:w="1019" w:type="dxa"/>
            <w:vMerge w:val="continue"/>
            <w:vAlign w:val="center"/>
          </w:tcPr>
          <w:p w14:paraId="78DE7FB8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</w:p>
        </w:tc>
        <w:tc>
          <w:tcPr>
            <w:tcW w:w="1812" w:type="dxa"/>
            <w:vAlign w:val="center"/>
          </w:tcPr>
          <w:p w14:paraId="0AD6A830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比赛起止</w:t>
            </w:r>
          </w:p>
        </w:tc>
        <w:tc>
          <w:tcPr>
            <w:tcW w:w="5437" w:type="dxa"/>
            <w:vAlign w:val="center"/>
          </w:tcPr>
          <w:p w14:paraId="67FEF41B">
            <w:pPr>
              <w:spacing w:after="0" w:line="620" w:lineRule="exact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以裁判长口令、哨声为准；结束3分钟内完成试卷、作品上交。</w:t>
            </w:r>
          </w:p>
        </w:tc>
      </w:tr>
      <w:tr w14:paraId="299065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6" w:hRule="atLeast"/>
          <w:jc w:val="center"/>
        </w:trPr>
        <w:tc>
          <w:tcPr>
            <w:tcW w:w="1020" w:type="dxa"/>
            <w:vMerge w:val="continue"/>
            <w:vAlign w:val="center"/>
          </w:tcPr>
          <w:p w14:paraId="60E3081A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</w:p>
        </w:tc>
        <w:tc>
          <w:tcPr>
            <w:tcW w:w="1019" w:type="dxa"/>
            <w:vMerge w:val="continue"/>
            <w:vAlign w:val="center"/>
          </w:tcPr>
          <w:p w14:paraId="00BABFA4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</w:p>
        </w:tc>
        <w:tc>
          <w:tcPr>
            <w:tcW w:w="1812" w:type="dxa"/>
            <w:vAlign w:val="center"/>
          </w:tcPr>
          <w:p w14:paraId="1756A32A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比赛延时</w:t>
            </w:r>
          </w:p>
        </w:tc>
        <w:tc>
          <w:tcPr>
            <w:tcW w:w="5437" w:type="dxa"/>
            <w:vAlign w:val="center"/>
          </w:tcPr>
          <w:p w14:paraId="71BE38A7">
            <w:pPr>
              <w:spacing w:after="0" w:line="620" w:lineRule="exact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仅裁判长依技术人员书面报告可决定延时，单模块延时不得超过总时长20%；选手个人原因失误不予延时。</w:t>
            </w:r>
          </w:p>
        </w:tc>
      </w:tr>
      <w:tr w14:paraId="4126AE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6" w:hRule="atLeast"/>
          <w:jc w:val="center"/>
        </w:trPr>
        <w:tc>
          <w:tcPr>
            <w:tcW w:w="1020" w:type="dxa"/>
            <w:vMerge w:val="restart"/>
            <w:vAlign w:val="center"/>
          </w:tcPr>
          <w:p w14:paraId="238FE77B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3</w:t>
            </w:r>
          </w:p>
        </w:tc>
        <w:tc>
          <w:tcPr>
            <w:tcW w:w="1019" w:type="dxa"/>
            <w:vMerge w:val="restart"/>
            <w:vAlign w:val="center"/>
          </w:tcPr>
          <w:p w14:paraId="62B02E33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赛后</w:t>
            </w:r>
          </w:p>
        </w:tc>
        <w:tc>
          <w:tcPr>
            <w:tcW w:w="1812" w:type="dxa"/>
            <w:vAlign w:val="center"/>
          </w:tcPr>
          <w:p w14:paraId="1BE95689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评判测量</w:t>
            </w:r>
          </w:p>
        </w:tc>
        <w:tc>
          <w:tcPr>
            <w:tcW w:w="5437" w:type="dxa"/>
            <w:vAlign w:val="center"/>
          </w:tcPr>
          <w:p w14:paraId="61A990D9">
            <w:pPr>
              <w:spacing w:after="0" w:line="620" w:lineRule="exact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试卷、实操绣品统一移交评判区开展评审。</w:t>
            </w:r>
          </w:p>
        </w:tc>
      </w:tr>
      <w:tr w14:paraId="0C2680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6" w:hRule="atLeast"/>
          <w:jc w:val="center"/>
        </w:trPr>
        <w:tc>
          <w:tcPr>
            <w:tcW w:w="1020" w:type="dxa"/>
            <w:vMerge w:val="continue"/>
            <w:vAlign w:val="center"/>
          </w:tcPr>
          <w:p w14:paraId="040D8DE7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</w:p>
        </w:tc>
        <w:tc>
          <w:tcPr>
            <w:tcW w:w="1019" w:type="dxa"/>
            <w:vMerge w:val="continue"/>
            <w:vAlign w:val="center"/>
          </w:tcPr>
          <w:p w14:paraId="170981B4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</w:p>
        </w:tc>
        <w:tc>
          <w:tcPr>
            <w:tcW w:w="1812" w:type="dxa"/>
            <w:vAlign w:val="center"/>
          </w:tcPr>
          <w:p w14:paraId="62C1A55D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成绩确认</w:t>
            </w:r>
          </w:p>
        </w:tc>
        <w:tc>
          <w:tcPr>
            <w:tcW w:w="5437" w:type="dxa"/>
            <w:vAlign w:val="center"/>
          </w:tcPr>
          <w:p w14:paraId="39F1CBDC">
            <w:pPr>
              <w:spacing w:after="0" w:line="620" w:lineRule="exact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解密选手编码，复核全部竞赛成绩。</w:t>
            </w:r>
          </w:p>
        </w:tc>
      </w:tr>
      <w:tr w14:paraId="45D4E5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6" w:hRule="atLeast"/>
          <w:jc w:val="center"/>
        </w:trPr>
        <w:tc>
          <w:tcPr>
            <w:tcW w:w="1020" w:type="dxa"/>
            <w:vMerge w:val="continue"/>
            <w:vAlign w:val="center"/>
          </w:tcPr>
          <w:p w14:paraId="3C0B575A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</w:p>
        </w:tc>
        <w:tc>
          <w:tcPr>
            <w:tcW w:w="1019" w:type="dxa"/>
            <w:vMerge w:val="continue"/>
            <w:vAlign w:val="center"/>
          </w:tcPr>
          <w:p w14:paraId="1A22EF5D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</w:p>
        </w:tc>
        <w:tc>
          <w:tcPr>
            <w:tcW w:w="1812" w:type="dxa"/>
            <w:vAlign w:val="center"/>
          </w:tcPr>
          <w:p w14:paraId="49458A31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成绩公布</w:t>
            </w:r>
          </w:p>
        </w:tc>
        <w:tc>
          <w:tcPr>
            <w:tcW w:w="5437" w:type="dxa"/>
            <w:vAlign w:val="center"/>
          </w:tcPr>
          <w:p w14:paraId="0BD3579D">
            <w:pPr>
              <w:spacing w:after="0" w:line="620" w:lineRule="exact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闭幕式公布最终竞赛成绩。</w:t>
            </w:r>
          </w:p>
        </w:tc>
      </w:tr>
    </w:tbl>
    <w:p w14:paraId="137138D9">
      <w:pPr>
        <w:keepNext/>
        <w:spacing w:after="0" w:line="620" w:lineRule="exact"/>
        <w:ind w:firstLine="640" w:firstLineChars="200"/>
        <w:rPr>
          <w:rFonts w:hint="eastAsia" w:ascii="楷体" w:hAnsi="楷体" w:eastAsia="楷体" w:cs="楷体"/>
          <w:bCs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Cs/>
          <w:color w:val="000000"/>
          <w:sz w:val="32"/>
          <w:szCs w:val="32"/>
        </w:rPr>
        <w:t>（四）评分基本流程</w:t>
      </w:r>
    </w:p>
    <w:tbl>
      <w:tblPr>
        <w:tblStyle w:val="16"/>
        <w:tblW w:w="929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1499"/>
        <w:gridCol w:w="6989"/>
      </w:tblGrid>
      <w:tr w14:paraId="26EB3B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tblHeader/>
          <w:jc w:val="center"/>
        </w:trPr>
        <w:tc>
          <w:tcPr>
            <w:tcW w:w="807" w:type="dxa"/>
            <w:shd w:val="clear" w:color="auto" w:fill="D9D9D9"/>
            <w:vAlign w:val="center"/>
          </w:tcPr>
          <w:p w14:paraId="799E988C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b/>
                <w:color w:val="000000"/>
                <w:sz w:val="24"/>
                <w:szCs w:val="28"/>
              </w:rPr>
              <w:t>顺序</w:t>
            </w:r>
          </w:p>
        </w:tc>
        <w:tc>
          <w:tcPr>
            <w:tcW w:w="1499" w:type="dxa"/>
            <w:shd w:val="clear" w:color="auto" w:fill="D9D9D9"/>
            <w:vAlign w:val="center"/>
          </w:tcPr>
          <w:p w14:paraId="544F2A25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b/>
                <w:color w:val="000000"/>
                <w:sz w:val="24"/>
                <w:szCs w:val="28"/>
              </w:rPr>
              <w:t>内容</w:t>
            </w:r>
          </w:p>
        </w:tc>
        <w:tc>
          <w:tcPr>
            <w:tcW w:w="6989" w:type="dxa"/>
            <w:shd w:val="clear" w:color="auto" w:fill="D9D9D9"/>
            <w:vAlign w:val="center"/>
          </w:tcPr>
          <w:p w14:paraId="7C10ADDF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b/>
                <w:color w:val="000000"/>
                <w:sz w:val="24"/>
                <w:szCs w:val="28"/>
              </w:rPr>
              <w:t>工作要求</w:t>
            </w:r>
          </w:p>
        </w:tc>
      </w:tr>
      <w:tr w14:paraId="584F52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3" w:hRule="atLeast"/>
          <w:jc w:val="center"/>
        </w:trPr>
        <w:tc>
          <w:tcPr>
            <w:tcW w:w="807" w:type="dxa"/>
            <w:vAlign w:val="center"/>
          </w:tcPr>
          <w:p w14:paraId="295472EF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1</w:t>
            </w:r>
          </w:p>
        </w:tc>
        <w:tc>
          <w:tcPr>
            <w:tcW w:w="1499" w:type="dxa"/>
            <w:vAlign w:val="center"/>
          </w:tcPr>
          <w:p w14:paraId="27CA1198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作品编码</w:t>
            </w:r>
          </w:p>
        </w:tc>
        <w:tc>
          <w:tcPr>
            <w:tcW w:w="6989" w:type="dxa"/>
            <w:vAlign w:val="center"/>
          </w:tcPr>
          <w:p w14:paraId="0E11B4BC">
            <w:pPr>
              <w:spacing w:after="0" w:line="620" w:lineRule="exact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理论试卷、实操绣品由加密人员统一设置匿名编码，去除全部个人信息。</w:t>
            </w:r>
          </w:p>
        </w:tc>
      </w:tr>
      <w:tr w14:paraId="3D5E26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3" w:hRule="atLeast"/>
          <w:jc w:val="center"/>
        </w:trPr>
        <w:tc>
          <w:tcPr>
            <w:tcW w:w="807" w:type="dxa"/>
            <w:vAlign w:val="center"/>
          </w:tcPr>
          <w:p w14:paraId="76299A9B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2</w:t>
            </w:r>
          </w:p>
        </w:tc>
        <w:tc>
          <w:tcPr>
            <w:tcW w:w="1499" w:type="dxa"/>
            <w:vAlign w:val="center"/>
          </w:tcPr>
          <w:p w14:paraId="351D155C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主观评价</w:t>
            </w:r>
          </w:p>
        </w:tc>
        <w:tc>
          <w:tcPr>
            <w:tcW w:w="6989" w:type="dxa"/>
            <w:vAlign w:val="center"/>
          </w:tcPr>
          <w:p w14:paraId="37C93760">
            <w:pPr>
              <w:spacing w:after="0" w:line="620" w:lineRule="exact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加密后由主观裁判组完成针法、艺术、文化创意主观打分；客观检测裁判统计工艺缺陷、尺寸偏差；录入数据并复核后提交裁判长。主观评判至少2名裁判同时在场。</w:t>
            </w:r>
          </w:p>
        </w:tc>
      </w:tr>
      <w:tr w14:paraId="14A667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4" w:hRule="atLeast"/>
          <w:jc w:val="center"/>
        </w:trPr>
        <w:tc>
          <w:tcPr>
            <w:tcW w:w="807" w:type="dxa"/>
            <w:vAlign w:val="center"/>
          </w:tcPr>
          <w:p w14:paraId="5FEE7749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3</w:t>
            </w:r>
          </w:p>
        </w:tc>
        <w:tc>
          <w:tcPr>
            <w:tcW w:w="1499" w:type="dxa"/>
            <w:vAlign w:val="center"/>
          </w:tcPr>
          <w:p w14:paraId="5A630608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客观测量</w:t>
            </w:r>
          </w:p>
        </w:tc>
        <w:tc>
          <w:tcPr>
            <w:tcW w:w="6989" w:type="dxa"/>
            <w:vAlign w:val="center"/>
          </w:tcPr>
          <w:p w14:paraId="23EB4AEF">
            <w:pPr>
              <w:spacing w:after="0" w:line="620" w:lineRule="exact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核对有效刺绣区域尺寸，统计跳线、浮线、错针、断线痕迹、底料褶皱等缺陷，核对纹样轮廓与线稿偏差；每件作品双人核验，纸质记录双人签字，修改须双人签字，纸质与电子汇总一致，提交裁判长后不可修改。</w:t>
            </w:r>
          </w:p>
        </w:tc>
      </w:tr>
    </w:tbl>
    <w:p w14:paraId="4ECF0839">
      <w:pPr>
        <w:keepNext/>
        <w:spacing w:after="0" w:line="620" w:lineRule="exact"/>
        <w:ind w:firstLine="640" w:firstLineChars="200"/>
        <w:rPr>
          <w:rFonts w:hint="eastAsia" w:ascii="楷体" w:hAnsi="楷体" w:eastAsia="楷体" w:cs="楷体"/>
          <w:bCs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Cs/>
          <w:color w:val="000000"/>
          <w:sz w:val="32"/>
          <w:szCs w:val="32"/>
        </w:rPr>
        <w:t>（五）裁判构成与分工</w:t>
      </w:r>
    </w:p>
    <w:p w14:paraId="777B4520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裁判由裁判长1名、裁判员3名组成，共4人。裁判长由辽绣非遗专家、工艺美术行业资深专家担任，负责裁判培训分工、赛场安全检查、组织安全教育、处理突发问题、组织成绩汇总及赛后技术点评，不直接参与打分。</w:t>
      </w:r>
    </w:p>
    <w:p w14:paraId="4F17D555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裁判员由省级、国家级辽绣非遗传承人、工艺美术大师、高校艺术专业教师、行业考评员组成：</w:t>
      </w:r>
    </w:p>
    <w:p w14:paraId="60600FB1">
      <w:pPr>
        <w:keepNext/>
        <w:spacing w:after="0" w:line="620" w:lineRule="exact"/>
        <w:ind w:firstLine="640" w:firstLineChars="200"/>
        <w:rPr>
          <w:rFonts w:hint="eastAsia" w:ascii="楷体" w:hAnsi="楷体" w:eastAsia="楷体" w:cs="楷体"/>
          <w:bCs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Cs/>
          <w:color w:val="000000"/>
          <w:sz w:val="32"/>
          <w:szCs w:val="32"/>
        </w:rPr>
        <w:t>（六）竞赛纪律</w:t>
      </w:r>
    </w:p>
    <w:p w14:paraId="6046F621">
      <w:pPr>
        <w:keepNext/>
        <w:spacing w:after="0" w:line="620" w:lineRule="exact"/>
        <w:ind w:firstLine="640" w:firstLineChars="20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1.通用要求</w:t>
      </w:r>
    </w:p>
    <w:p w14:paraId="1D5D415B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（1）全体参赛人员遵守法律法规，恪守职业道德。</w:t>
      </w:r>
    </w:p>
    <w:p w14:paraId="1DA11315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（2）赛场禁止未经许可拍照、录像试卷、命题线稿、选手绣品；禁止私自拷贝赛场资料，一经查实取消选手竞赛成绩，情节严重的上报组委会。</w:t>
      </w:r>
    </w:p>
    <w:p w14:paraId="4765C9FF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（3）赛场统一提供的命题线稿、试卷禁止私自带出，违者取消参赛或执裁资格。</w:t>
      </w:r>
    </w:p>
    <w:p w14:paraId="27030C69">
      <w:pPr>
        <w:keepNext/>
        <w:spacing w:after="0" w:line="620" w:lineRule="exact"/>
        <w:ind w:firstLine="640" w:firstLineChars="20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2.裁判员工作纪律</w:t>
      </w:r>
    </w:p>
    <w:p w14:paraId="3AFFEAA4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（1）裁判员须参加赛前培训，熟悉技术文件、评分标准、安全应急预案；赛前检查赛场工位、工具物料、安全条件。</w:t>
      </w:r>
    </w:p>
    <w:p w14:paraId="06D96EE5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（2）现场裁判不随意靠近选手工位，选手举手示意方可介入；不得解读赛题；竞赛结束前15分钟进行时间提醒。</w:t>
      </w:r>
    </w:p>
    <w:p w14:paraId="5E800E72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（3）全部原始评分表须裁判签字，数据修改须本组全部裁判签字，裁判长对成绩汇总表签字确认。</w:t>
      </w:r>
    </w:p>
    <w:p w14:paraId="71B721A6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（4）加密解密全程监督，评分结束前不得泄露选手作品信息及打分情况；主观裁判之间禁止讨论分数、禁止私自去除匿名编码。</w:t>
      </w:r>
    </w:p>
    <w:p w14:paraId="1992CF46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（5）裁判长有权终止恶意评判、干扰竞赛的裁判员执裁工作；正式成绩公布前，所有裁判严禁泄露任何评审信息。</w:t>
      </w:r>
    </w:p>
    <w:p w14:paraId="30266E8C">
      <w:pPr>
        <w:keepNext/>
        <w:spacing w:after="0" w:line="620" w:lineRule="exact"/>
        <w:ind w:firstLine="640" w:firstLineChars="20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3.选手工作内容及纪律</w:t>
      </w:r>
    </w:p>
    <w:p w14:paraId="4D6BBA97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（1）本赛项参赛选手为省内刺绣在职职工。熟悉场地阶段不得开展刺绣练习，不得改动赛场设备。</w:t>
      </w:r>
    </w:p>
    <w:p w14:paraId="38E20281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（2）凭参赛证、身份证检录，抽签确定工位；安全教育完毕后方可进入工位；开赛口令下达后才可开始操作。</w:t>
      </w:r>
    </w:p>
    <w:p w14:paraId="5186EBEC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（3）实操设备故障，可申请切换备用工位，由技术人员出具书面说明。</w:t>
      </w:r>
    </w:p>
    <w:p w14:paraId="4015AD80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（4）赛场禁止喧哗，禁止辱骂裁判、工作人员。</w:t>
      </w:r>
    </w:p>
    <w:p w14:paraId="1AADEF81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（5）竞赛结束铃声响起立即停止操作，3分钟内完成全部材料上交并签字确认。</w:t>
      </w:r>
    </w:p>
    <w:p w14:paraId="1DC9DFD6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（6）休息、饮水、如厕全部计入竞赛时间，非设备故障不提供额外补时；选手受伤依医疗意见由裁判长决定是否补时，单模块补时不超过总时长20%。</w:t>
      </w:r>
    </w:p>
    <w:p w14:paraId="649CE284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（7）提前完成竞赛任务须原地等候，不能离开赛场；工位工具物料摆放整齐，接受裁判巡查。</w:t>
      </w:r>
    </w:p>
    <w:p w14:paraId="71AAD09F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（8）比赛期间不得将赛场物料、半成品、试卷带离赛场。</w:t>
      </w:r>
    </w:p>
    <w:p w14:paraId="41124877">
      <w:pPr>
        <w:keepNext/>
        <w:spacing w:after="0" w:line="620" w:lineRule="exact"/>
        <w:ind w:firstLine="640" w:firstLineChars="20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4.其他人员任务和要求</w:t>
      </w:r>
    </w:p>
    <w:p w14:paraId="7572DBDD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（1）全体工作人员、技术支持服从裁判长调度，只能在划定区域活动，未经裁判长许可不得进入选手工位区。</w:t>
      </w:r>
    </w:p>
    <w:p w14:paraId="526996EF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（2）工作人员不得随意拍照、录制选手作品，不得向选手提示针法、纹样、色彩。</w:t>
      </w:r>
    </w:p>
    <w:p w14:paraId="37D02D29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（3）媒体记者采访拍摄须取得组委会批准，听从现场工作人员引导。</w:t>
      </w:r>
    </w:p>
    <w:p w14:paraId="48614BAB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（4）全部赛务工作人员佩戴组委会发放证件。</w:t>
      </w:r>
    </w:p>
    <w:p w14:paraId="57A0CDCA">
      <w:pPr>
        <w:keepNext/>
        <w:spacing w:after="0" w:line="620" w:lineRule="exact"/>
        <w:ind w:firstLine="640" w:firstLineChars="200"/>
        <w:rPr>
          <w:rFonts w:hint="eastAsia"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四、竞赛场地、设施设备等安排</w:t>
      </w:r>
    </w:p>
    <w:p w14:paraId="4F03A316">
      <w:pPr>
        <w:keepNext/>
        <w:spacing w:after="0" w:line="620" w:lineRule="exact"/>
        <w:ind w:firstLine="640" w:firstLineChars="200"/>
        <w:rPr>
          <w:rFonts w:hint="eastAsia" w:ascii="楷体" w:hAnsi="楷体" w:eastAsia="楷体" w:cs="楷体"/>
          <w:bCs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Cs/>
          <w:color w:val="000000"/>
          <w:sz w:val="32"/>
          <w:szCs w:val="32"/>
        </w:rPr>
        <w:t>（一）赛场监控设施要求</w:t>
      </w:r>
    </w:p>
    <w:p w14:paraId="599461A0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竞赛全程高清广角视频监控，覆盖全部选手工位，录像完整存储备案，支持回溯调阅，可采用固定及移动监控设备。</w:t>
      </w:r>
    </w:p>
    <w:p w14:paraId="2C7220C7">
      <w:pPr>
        <w:keepNext/>
        <w:spacing w:after="0" w:line="620" w:lineRule="exact"/>
        <w:ind w:firstLine="640" w:firstLineChars="200"/>
        <w:rPr>
          <w:rFonts w:hint="eastAsia" w:ascii="楷体" w:hAnsi="楷体" w:eastAsia="楷体" w:cs="楷体"/>
          <w:bCs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Cs/>
          <w:color w:val="000000"/>
          <w:sz w:val="32"/>
          <w:szCs w:val="32"/>
        </w:rPr>
        <w:t>（二）赛场规格要求</w:t>
      </w:r>
    </w:p>
    <w:p w14:paraId="31602A1E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1.赛场总面积不小于400㎡，室内净高≥2.8米，通风采光良好。</w:t>
      </w:r>
    </w:p>
    <w:p w14:paraId="513C80BD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2.供电：赛场总供电容量≥20kW，每个工位配备220V—10A电源插座并带漏电保护器，用于工位补光灯具。</w:t>
      </w:r>
    </w:p>
    <w:p w14:paraId="1923A336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3.照明：工位桌面照度≥750Lux，无眩光、无频闪，满足刺绣辨识纹样色彩需求。</w:t>
      </w:r>
    </w:p>
    <w:p w14:paraId="07390C36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4.消防：按消防规范配置干粉、二氧化碳灭火器，每50㎡不少于2具，消防通道畅通，疏散标识清晰。</w:t>
      </w:r>
    </w:p>
    <w:p w14:paraId="329632EF">
      <w:pPr>
        <w:keepNext/>
        <w:spacing w:after="0" w:line="620" w:lineRule="exact"/>
        <w:ind w:firstLine="640" w:firstLineChars="200"/>
        <w:rPr>
          <w:rFonts w:hint="eastAsia" w:ascii="楷体" w:hAnsi="楷体" w:eastAsia="楷体" w:cs="楷体"/>
          <w:bCs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Cs/>
          <w:color w:val="000000"/>
          <w:sz w:val="32"/>
          <w:szCs w:val="32"/>
        </w:rPr>
        <w:t>（三）场地布局说明</w:t>
      </w:r>
    </w:p>
    <w:p w14:paraId="472CC0F5">
      <w:pPr>
        <w:spacing w:after="0" w:line="620" w:lineRule="exact"/>
        <w:ind w:firstLine="480"/>
        <w:rPr>
          <w:rFonts w:ascii="Times New Roman" w:hAnsi="Times New Roman" w:eastAsia="仿宋" w:cs="仿宋"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Cs/>
          <w:color w:val="000000"/>
          <w:sz w:val="32"/>
          <w:szCs w:val="32"/>
        </w:rPr>
        <w:t>赛场划分为选手实操工位区、候考区、裁判评审区、实物作品展示区、物料存放区、医疗点；工位之间预留操作通道和安全间距，保障裁判通行。</w:t>
      </w:r>
    </w:p>
    <w:p w14:paraId="1AF35172">
      <w:pPr>
        <w:keepNext/>
        <w:spacing w:after="0" w:line="620" w:lineRule="exact"/>
        <w:ind w:firstLine="640" w:firstLineChars="200"/>
        <w:rPr>
          <w:rFonts w:hint="eastAsia" w:ascii="楷体" w:hAnsi="楷体" w:eastAsia="楷体" w:cs="楷体"/>
          <w:bCs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Cs/>
          <w:color w:val="000000"/>
          <w:sz w:val="32"/>
          <w:szCs w:val="32"/>
        </w:rPr>
        <w:t>（四）赛场竞赛工位说明</w:t>
      </w:r>
    </w:p>
    <w:p w14:paraId="03883F1C">
      <w:pPr>
        <w:spacing w:after="0" w:line="620" w:lineRule="exact"/>
        <w:jc w:val="center"/>
        <w:rPr>
          <w:rFonts w:ascii="Times New Roman" w:hAnsi="Times New Roman" w:eastAsia="仿宋" w:cs="仿宋"/>
          <w:sz w:val="32"/>
          <w:szCs w:val="44"/>
        </w:rPr>
      </w:pPr>
      <w:r>
        <w:rPr>
          <w:rFonts w:hint="eastAsia" w:ascii="Times New Roman" w:hAnsi="Times New Roman" w:eastAsia="仿宋" w:cs="仿宋"/>
          <w:sz w:val="32"/>
          <w:szCs w:val="44"/>
        </w:rPr>
        <w:t>比赛场地示意图</w:t>
      </w:r>
    </w:p>
    <w:p w14:paraId="1CE9CD98">
      <w:pPr>
        <w:spacing w:after="0" w:line="240" w:lineRule="auto"/>
        <w:jc w:val="center"/>
        <w:rPr>
          <w:rFonts w:ascii="Times New Roman" w:hAnsi="Times New Roman" w:eastAsia="仿宋" w:cs="仿宋"/>
          <w:color w:val="000000"/>
          <w:sz w:val="28"/>
          <w:szCs w:val="24"/>
        </w:rPr>
      </w:pPr>
      <w:r>
        <w:rPr>
          <w:rFonts w:hint="eastAsia" w:ascii="Times New Roman" w:hAnsi="Times New Roman" w:eastAsia="仿宋" w:cs="仿宋"/>
          <w:color w:val="000000"/>
          <w:sz w:val="28"/>
          <w:szCs w:val="24"/>
        </w:rPr>
        <w:drawing>
          <wp:inline distT="0" distB="0" distL="0" distR="0">
            <wp:extent cx="5305425" cy="2686050"/>
            <wp:effectExtent l="0" t="0" r="9525" b="0"/>
            <wp:docPr id="8390390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039068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rcRect l="4299" t="10582" r="3605" b="6525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26860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11171">
      <w:pPr>
        <w:spacing w:after="0" w:line="620" w:lineRule="exact"/>
        <w:ind w:firstLine="480"/>
        <w:rPr>
          <w:rFonts w:ascii="Times New Roman" w:hAnsi="Times New Roman" w:eastAsia="仿宋" w:cs="仿宋"/>
          <w:color w:val="000000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每个工位配置绣绷工作台、座椅，预留操作空间，保证绷架摆放与刺绣操作，工位旁设置物料收纳盒。</w:t>
      </w:r>
    </w:p>
    <w:p w14:paraId="0286F1FF">
      <w:pPr>
        <w:keepNext/>
        <w:spacing w:after="0" w:line="620" w:lineRule="exact"/>
        <w:ind w:firstLine="640" w:firstLineChars="200"/>
        <w:rPr>
          <w:rFonts w:hint="eastAsia" w:ascii="楷体" w:hAnsi="楷体" w:eastAsia="楷体" w:cs="楷体"/>
          <w:bCs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Cs/>
          <w:color w:val="000000"/>
          <w:sz w:val="32"/>
          <w:szCs w:val="32"/>
        </w:rPr>
        <w:t>（五）基础设施清单</w:t>
      </w:r>
    </w:p>
    <w:p w14:paraId="0DFE843A">
      <w:pPr>
        <w:spacing w:after="0" w:line="620" w:lineRule="exact"/>
        <w:ind w:firstLine="1049" w:firstLineChars="328"/>
        <w:rPr>
          <w:rFonts w:ascii="Times New Roman" w:hAnsi="Times New Roman" w:eastAsia="仿宋" w:cs="仿宋"/>
          <w:color w:val="000000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1.赛场提供设施设备清单</w:t>
      </w:r>
    </w:p>
    <w:tbl>
      <w:tblPr>
        <w:tblStyle w:val="16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8"/>
        <w:gridCol w:w="1984"/>
        <w:gridCol w:w="844"/>
        <w:gridCol w:w="5307"/>
      </w:tblGrid>
      <w:tr w14:paraId="64D1F2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tblHeader/>
          <w:jc w:val="center"/>
        </w:trPr>
        <w:tc>
          <w:tcPr>
            <w:tcW w:w="788" w:type="dxa"/>
            <w:shd w:val="clear" w:color="auto" w:fill="D9D9D9"/>
            <w:vAlign w:val="center"/>
          </w:tcPr>
          <w:p w14:paraId="78236E93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b/>
                <w:color w:val="000000"/>
                <w:sz w:val="24"/>
                <w:szCs w:val="28"/>
              </w:rPr>
              <w:t>序号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0255F584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b/>
                <w:color w:val="000000"/>
                <w:sz w:val="24"/>
                <w:szCs w:val="28"/>
              </w:rPr>
              <w:t>名称</w:t>
            </w:r>
          </w:p>
        </w:tc>
        <w:tc>
          <w:tcPr>
            <w:tcW w:w="844" w:type="dxa"/>
            <w:shd w:val="clear" w:color="auto" w:fill="D9D9D9"/>
            <w:vAlign w:val="center"/>
          </w:tcPr>
          <w:p w14:paraId="36B88306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b/>
                <w:color w:val="000000"/>
                <w:sz w:val="24"/>
                <w:szCs w:val="28"/>
              </w:rPr>
              <w:t>配置</w:t>
            </w:r>
          </w:p>
        </w:tc>
        <w:tc>
          <w:tcPr>
            <w:tcW w:w="5307" w:type="dxa"/>
            <w:shd w:val="clear" w:color="auto" w:fill="D9D9D9"/>
            <w:vAlign w:val="center"/>
          </w:tcPr>
          <w:p w14:paraId="5F874E41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b/>
                <w:color w:val="000000"/>
                <w:sz w:val="24"/>
                <w:szCs w:val="28"/>
              </w:rPr>
              <w:t>技术规格</w:t>
            </w:r>
          </w:p>
        </w:tc>
      </w:tr>
      <w:tr w14:paraId="3A7E01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788" w:type="dxa"/>
            <w:vAlign w:val="center"/>
          </w:tcPr>
          <w:p w14:paraId="6555A3E3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14:paraId="217D2B69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刺绣工作台</w:t>
            </w:r>
          </w:p>
        </w:tc>
        <w:tc>
          <w:tcPr>
            <w:tcW w:w="844" w:type="dxa"/>
            <w:vAlign w:val="center"/>
          </w:tcPr>
          <w:p w14:paraId="59F71CDB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1台</w:t>
            </w:r>
          </w:p>
        </w:tc>
        <w:tc>
          <w:tcPr>
            <w:tcW w:w="5307" w:type="dxa"/>
            <w:vAlign w:val="center"/>
          </w:tcPr>
          <w:p w14:paraId="781AE2DC">
            <w:pPr>
              <w:spacing w:after="0" w:line="620" w:lineRule="exact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140cm×70cm×75cm</w:t>
            </w:r>
          </w:p>
        </w:tc>
      </w:tr>
      <w:tr w14:paraId="7B7D80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788" w:type="dxa"/>
            <w:vAlign w:val="center"/>
          </w:tcPr>
          <w:p w14:paraId="0F1D434F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2</w:t>
            </w:r>
          </w:p>
        </w:tc>
        <w:tc>
          <w:tcPr>
            <w:tcW w:w="1984" w:type="dxa"/>
            <w:vAlign w:val="center"/>
          </w:tcPr>
          <w:p w14:paraId="70ABEF7C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立式/台式绣绷架</w:t>
            </w:r>
          </w:p>
        </w:tc>
        <w:tc>
          <w:tcPr>
            <w:tcW w:w="844" w:type="dxa"/>
            <w:vAlign w:val="center"/>
          </w:tcPr>
          <w:p w14:paraId="0F0F5452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1套</w:t>
            </w:r>
          </w:p>
        </w:tc>
        <w:tc>
          <w:tcPr>
            <w:tcW w:w="5307" w:type="dxa"/>
            <w:vAlign w:val="center"/>
          </w:tcPr>
          <w:p w14:paraId="5A229365">
            <w:pPr>
              <w:spacing w:after="0" w:line="620" w:lineRule="exact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适配40×30cm绣料</w:t>
            </w:r>
          </w:p>
        </w:tc>
      </w:tr>
      <w:tr w14:paraId="3776DD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788" w:type="dxa"/>
            <w:vAlign w:val="center"/>
          </w:tcPr>
          <w:p w14:paraId="18A758CF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3</w:t>
            </w:r>
          </w:p>
        </w:tc>
        <w:tc>
          <w:tcPr>
            <w:tcW w:w="1984" w:type="dxa"/>
            <w:vAlign w:val="center"/>
          </w:tcPr>
          <w:p w14:paraId="6706B312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工作座椅</w:t>
            </w:r>
          </w:p>
        </w:tc>
        <w:tc>
          <w:tcPr>
            <w:tcW w:w="844" w:type="dxa"/>
            <w:vAlign w:val="center"/>
          </w:tcPr>
          <w:p w14:paraId="0710AA63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1张</w:t>
            </w:r>
          </w:p>
        </w:tc>
        <w:tc>
          <w:tcPr>
            <w:tcW w:w="5307" w:type="dxa"/>
            <w:vAlign w:val="center"/>
          </w:tcPr>
          <w:p w14:paraId="25653A36">
            <w:pPr>
              <w:spacing w:after="0" w:line="620" w:lineRule="exact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高度可调</w:t>
            </w:r>
          </w:p>
        </w:tc>
      </w:tr>
      <w:tr w14:paraId="491392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788" w:type="dxa"/>
            <w:vAlign w:val="center"/>
          </w:tcPr>
          <w:p w14:paraId="661B12BE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4</w:t>
            </w:r>
          </w:p>
        </w:tc>
        <w:tc>
          <w:tcPr>
            <w:tcW w:w="1984" w:type="dxa"/>
            <w:vAlign w:val="center"/>
          </w:tcPr>
          <w:p w14:paraId="37AAEE2C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绣料底料</w:t>
            </w:r>
          </w:p>
        </w:tc>
        <w:tc>
          <w:tcPr>
            <w:tcW w:w="844" w:type="dxa"/>
            <w:vAlign w:val="center"/>
          </w:tcPr>
          <w:p w14:paraId="337FDE15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1套</w:t>
            </w:r>
          </w:p>
        </w:tc>
        <w:tc>
          <w:tcPr>
            <w:tcW w:w="5307" w:type="dxa"/>
            <w:vAlign w:val="center"/>
          </w:tcPr>
          <w:p w14:paraId="4B77AC23">
            <w:pPr>
              <w:spacing w:after="0" w:line="620" w:lineRule="exact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大赛统一面料</w:t>
            </w:r>
          </w:p>
        </w:tc>
      </w:tr>
      <w:tr w14:paraId="22827E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788" w:type="dxa"/>
            <w:vAlign w:val="center"/>
          </w:tcPr>
          <w:p w14:paraId="0EF1E05D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5</w:t>
            </w:r>
          </w:p>
        </w:tc>
        <w:tc>
          <w:tcPr>
            <w:tcW w:w="1984" w:type="dxa"/>
            <w:vAlign w:val="center"/>
          </w:tcPr>
          <w:p w14:paraId="703918FD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基础色谱绣线</w:t>
            </w:r>
          </w:p>
        </w:tc>
        <w:tc>
          <w:tcPr>
            <w:tcW w:w="844" w:type="dxa"/>
            <w:vAlign w:val="center"/>
          </w:tcPr>
          <w:p w14:paraId="59808D82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1套</w:t>
            </w:r>
          </w:p>
        </w:tc>
        <w:tc>
          <w:tcPr>
            <w:tcW w:w="5307" w:type="dxa"/>
            <w:vAlign w:val="center"/>
          </w:tcPr>
          <w:p w14:paraId="33C187C6">
            <w:pPr>
              <w:spacing w:after="0" w:line="620" w:lineRule="exact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多色刺绣丝线</w:t>
            </w:r>
          </w:p>
        </w:tc>
      </w:tr>
      <w:tr w14:paraId="78A023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788" w:type="dxa"/>
            <w:vAlign w:val="center"/>
          </w:tcPr>
          <w:p w14:paraId="0343E669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6</w:t>
            </w:r>
          </w:p>
        </w:tc>
        <w:tc>
          <w:tcPr>
            <w:tcW w:w="1984" w:type="dxa"/>
            <w:vAlign w:val="center"/>
          </w:tcPr>
          <w:p w14:paraId="5EEAF8E6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物料收纳盒</w:t>
            </w:r>
          </w:p>
        </w:tc>
        <w:tc>
          <w:tcPr>
            <w:tcW w:w="844" w:type="dxa"/>
            <w:vAlign w:val="center"/>
          </w:tcPr>
          <w:p w14:paraId="775B7695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1个</w:t>
            </w:r>
          </w:p>
        </w:tc>
        <w:tc>
          <w:tcPr>
            <w:tcW w:w="5307" w:type="dxa"/>
            <w:vAlign w:val="center"/>
          </w:tcPr>
          <w:p w14:paraId="0AE1199C">
            <w:pPr>
              <w:spacing w:after="0" w:line="620" w:lineRule="exact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放置绣线、小工具</w:t>
            </w:r>
          </w:p>
        </w:tc>
      </w:tr>
      <w:tr w14:paraId="368592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788" w:type="dxa"/>
            <w:vAlign w:val="center"/>
          </w:tcPr>
          <w:p w14:paraId="32773291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7</w:t>
            </w:r>
          </w:p>
        </w:tc>
        <w:tc>
          <w:tcPr>
            <w:tcW w:w="1984" w:type="dxa"/>
            <w:vAlign w:val="center"/>
          </w:tcPr>
          <w:p w14:paraId="21DBA63D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绣花针</w:t>
            </w:r>
          </w:p>
        </w:tc>
        <w:tc>
          <w:tcPr>
            <w:tcW w:w="844" w:type="dxa"/>
            <w:vAlign w:val="center"/>
          </w:tcPr>
          <w:p w14:paraId="02854988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bookmarkStart w:id="5" w:name="OLE_LINK5"/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1套</w:t>
            </w:r>
            <w:bookmarkEnd w:id="5"/>
          </w:p>
        </w:tc>
        <w:tc>
          <w:tcPr>
            <w:tcW w:w="5307" w:type="dxa"/>
            <w:vAlign w:val="center"/>
          </w:tcPr>
          <w:p w14:paraId="4E6291F0">
            <w:pPr>
              <w:spacing w:after="0" w:line="620" w:lineRule="exact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专用绣花针</w:t>
            </w:r>
          </w:p>
        </w:tc>
      </w:tr>
      <w:tr w14:paraId="773065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788" w:type="dxa"/>
            <w:vAlign w:val="center"/>
          </w:tcPr>
          <w:p w14:paraId="3D5177EA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8</w:t>
            </w:r>
          </w:p>
        </w:tc>
        <w:tc>
          <w:tcPr>
            <w:tcW w:w="1984" w:type="dxa"/>
            <w:vAlign w:val="center"/>
          </w:tcPr>
          <w:p w14:paraId="79720FD1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剪刀</w:t>
            </w:r>
          </w:p>
        </w:tc>
        <w:tc>
          <w:tcPr>
            <w:tcW w:w="844" w:type="dxa"/>
            <w:vAlign w:val="center"/>
          </w:tcPr>
          <w:p w14:paraId="27D5AD87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bookmarkStart w:id="6" w:name="OLE_LINK7"/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1把</w:t>
            </w:r>
            <w:bookmarkEnd w:id="6"/>
          </w:p>
        </w:tc>
        <w:tc>
          <w:tcPr>
            <w:tcW w:w="5307" w:type="dxa"/>
            <w:vAlign w:val="center"/>
          </w:tcPr>
          <w:p w14:paraId="4B6EDD66">
            <w:pPr>
              <w:spacing w:after="0" w:line="620" w:lineRule="exact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弯头刺绣专用剪刀</w:t>
            </w:r>
          </w:p>
        </w:tc>
      </w:tr>
      <w:tr w14:paraId="16D111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788" w:type="dxa"/>
            <w:vAlign w:val="center"/>
          </w:tcPr>
          <w:p w14:paraId="16A82D60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9</w:t>
            </w:r>
          </w:p>
        </w:tc>
        <w:tc>
          <w:tcPr>
            <w:tcW w:w="1984" w:type="dxa"/>
            <w:vAlign w:val="center"/>
          </w:tcPr>
          <w:p w14:paraId="4CE1847B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水消笔</w:t>
            </w:r>
          </w:p>
        </w:tc>
        <w:tc>
          <w:tcPr>
            <w:tcW w:w="844" w:type="dxa"/>
            <w:vAlign w:val="center"/>
          </w:tcPr>
          <w:p w14:paraId="02A43CE7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1支</w:t>
            </w:r>
          </w:p>
        </w:tc>
        <w:tc>
          <w:tcPr>
            <w:tcW w:w="5307" w:type="dxa"/>
            <w:vAlign w:val="center"/>
          </w:tcPr>
          <w:p w14:paraId="71C111B4">
            <w:pPr>
              <w:spacing w:after="0" w:line="620" w:lineRule="exact"/>
              <w:rPr>
                <w:rFonts w:ascii="Times New Roman" w:hAnsi="Times New Roman" w:eastAsia="仿宋" w:cs="仿宋"/>
                <w:color w:val="000000"/>
                <w:sz w:val="24"/>
                <w:szCs w:val="28"/>
                <w:lang w:eastAsia="en-US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做记号专用笔</w:t>
            </w:r>
          </w:p>
        </w:tc>
      </w:tr>
      <w:tr w14:paraId="69E7FC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788" w:type="dxa"/>
            <w:vAlign w:val="center"/>
          </w:tcPr>
          <w:p w14:paraId="6D9AC24E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10</w:t>
            </w:r>
          </w:p>
        </w:tc>
        <w:tc>
          <w:tcPr>
            <w:tcW w:w="1984" w:type="dxa"/>
            <w:vAlign w:val="center"/>
          </w:tcPr>
          <w:p w14:paraId="651D2F1B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增高垫</w:t>
            </w:r>
          </w:p>
        </w:tc>
        <w:tc>
          <w:tcPr>
            <w:tcW w:w="844" w:type="dxa"/>
            <w:vAlign w:val="center"/>
          </w:tcPr>
          <w:p w14:paraId="2BA519EB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1个</w:t>
            </w:r>
          </w:p>
        </w:tc>
        <w:tc>
          <w:tcPr>
            <w:tcW w:w="5307" w:type="dxa"/>
            <w:vAlign w:val="center"/>
          </w:tcPr>
          <w:p w14:paraId="77E0108E">
            <w:pPr>
              <w:spacing w:after="0" w:line="620" w:lineRule="exact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绣架防滑增高垫</w:t>
            </w:r>
          </w:p>
        </w:tc>
      </w:tr>
      <w:tr w14:paraId="76048E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788" w:type="dxa"/>
            <w:vAlign w:val="center"/>
          </w:tcPr>
          <w:p w14:paraId="03D4E0F3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11</w:t>
            </w:r>
          </w:p>
        </w:tc>
        <w:tc>
          <w:tcPr>
            <w:tcW w:w="1984" w:type="dxa"/>
            <w:vAlign w:val="center"/>
          </w:tcPr>
          <w:p w14:paraId="18C67FEE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辅助工具</w:t>
            </w:r>
          </w:p>
        </w:tc>
        <w:tc>
          <w:tcPr>
            <w:tcW w:w="844" w:type="dxa"/>
            <w:vAlign w:val="center"/>
          </w:tcPr>
          <w:p w14:paraId="1226830A">
            <w:pPr>
              <w:spacing w:after="0" w:line="620" w:lineRule="exact"/>
              <w:jc w:val="center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</w:rPr>
              <w:t>1套</w:t>
            </w:r>
          </w:p>
        </w:tc>
        <w:tc>
          <w:tcPr>
            <w:tcW w:w="5307" w:type="dxa"/>
            <w:vAlign w:val="center"/>
          </w:tcPr>
          <w:p w14:paraId="6A7DC53C">
            <w:pPr>
              <w:spacing w:after="0" w:line="620" w:lineRule="exact"/>
              <w:rPr>
                <w:rFonts w:ascii="Times New Roman" w:hAnsi="Times New Roman" w:eastAsia="仿宋" w:cs="仿宋"/>
                <w:color w:val="000000"/>
                <w:sz w:val="24"/>
                <w:szCs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</w:rPr>
              <w:t>铜制防滑顶针、便携拆线器、金属穿线器、软尺、镊子</w:t>
            </w:r>
          </w:p>
        </w:tc>
      </w:tr>
    </w:tbl>
    <w:p w14:paraId="27D205F8">
      <w:pPr>
        <w:spacing w:after="0" w:line="620" w:lineRule="exact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注：赛场统一提供底料、绣线，选手禁止自带底料、绣线、刺绣半成品、纹样底稿。</w:t>
      </w:r>
    </w:p>
    <w:p w14:paraId="3F3BB0F8">
      <w:pPr>
        <w:keepNext/>
        <w:spacing w:after="0" w:line="620" w:lineRule="exact"/>
        <w:ind w:firstLine="640" w:firstLineChars="200"/>
        <w:rPr>
          <w:rFonts w:hint="eastAsia" w:ascii="黑体" w:hAnsi="黑体" w:eastAsia="黑体" w:cs="黑体"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</w:rPr>
        <w:t>五、安全、健康要求</w:t>
      </w:r>
    </w:p>
    <w:p w14:paraId="7000E492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依据《中华人民共和国安全生产法》《中华人民共和国消防法》，结合手工刺绣竞赛特点，全部选手、裁判、工作人员遵照执行。</w:t>
      </w:r>
    </w:p>
    <w:p w14:paraId="6D4DA401">
      <w:pPr>
        <w:keepNext/>
        <w:spacing w:after="0" w:line="620" w:lineRule="exact"/>
        <w:ind w:firstLine="640" w:firstLineChars="200"/>
        <w:rPr>
          <w:rFonts w:hint="eastAsia" w:ascii="楷体" w:hAnsi="楷体" w:eastAsia="楷体" w:cs="楷体"/>
          <w:bCs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Cs/>
          <w:color w:val="000000"/>
          <w:sz w:val="32"/>
          <w:szCs w:val="32"/>
        </w:rPr>
        <w:t>（一）选手安全防护措施要求</w:t>
      </w:r>
    </w:p>
    <w:p w14:paraId="5699BB04">
      <w:pPr>
        <w:keepNext/>
        <w:spacing w:after="0" w:line="620" w:lineRule="exact"/>
        <w:ind w:firstLine="640" w:firstLineChars="20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1.通用安全要求</w:t>
      </w:r>
    </w:p>
    <w:p w14:paraId="62A85DA5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（1）选手赛前参加安全培训，熟悉安全出口、灭火器位置、疏散路线。</w:t>
      </w:r>
    </w:p>
    <w:p w14:paraId="701D70EF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（2）着装简洁，禁止宽大飘摆衣袖；长发须束起；不允许穿拖鞋。</w:t>
      </w:r>
    </w:p>
    <w:p w14:paraId="3482738A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（3）不得私拆工位台灯等电器电源线。</w:t>
      </w:r>
    </w:p>
    <w:p w14:paraId="0B975292">
      <w:pPr>
        <w:keepNext/>
        <w:spacing w:after="0" w:line="620" w:lineRule="exact"/>
        <w:ind w:firstLine="640" w:firstLineChars="20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2.尖锐手工工具安全</w:t>
      </w:r>
    </w:p>
    <w:p w14:paraId="474771EC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（1）绣针、剪刀等尖锐工具不用时收纳进工具盒，禁止放在工作台边缘或别在衣物上。</w:t>
      </w:r>
    </w:p>
    <w:p w14:paraId="1AEA3E22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（2）传递剪刀时刀尖朝向自己、手柄递给对方；禁止携带危险改装刀具入场。</w:t>
      </w:r>
    </w:p>
    <w:p w14:paraId="275E5833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（3）发生绣针掉落须仔细查找防止扎伤，找不到立即报告裁判处理。</w:t>
      </w:r>
    </w:p>
    <w:p w14:paraId="696A58B1">
      <w:pPr>
        <w:keepNext/>
        <w:spacing w:after="0" w:line="620" w:lineRule="exact"/>
        <w:ind w:firstLine="640" w:firstLineChars="200"/>
        <w:rPr>
          <w:rFonts w:hint="eastAsia" w:ascii="楷体" w:hAnsi="楷体" w:eastAsia="楷体" w:cs="楷体"/>
          <w:bCs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Cs/>
          <w:color w:val="000000"/>
          <w:sz w:val="32"/>
          <w:szCs w:val="32"/>
        </w:rPr>
        <w:t>（二）健康安全和绿色环保</w:t>
      </w:r>
    </w:p>
    <w:p w14:paraId="2FD97909">
      <w:pPr>
        <w:keepNext/>
        <w:spacing w:after="0" w:line="620" w:lineRule="exact"/>
        <w:ind w:firstLine="640" w:firstLineChars="20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1.职业健康要求</w:t>
      </w:r>
    </w:p>
    <w:p w14:paraId="450515FA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（1）长时间低头刺绣，选手可自主间歇调整坐姿，缓解眼部和颈椎疲劳。</w:t>
      </w:r>
    </w:p>
    <w:p w14:paraId="6F28EB23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（2）赛场保证通风；对丝线粉尘敏感者可向裁判申请佩戴口罩。</w:t>
      </w:r>
    </w:p>
    <w:p w14:paraId="0FD19D52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（3）出现头晕、手部扎伤、身体不适，第一时间报告裁判并前往医疗点处置。</w:t>
      </w:r>
    </w:p>
    <w:p w14:paraId="778D1326">
      <w:pPr>
        <w:keepNext/>
        <w:spacing w:after="0" w:line="620" w:lineRule="exact"/>
        <w:ind w:firstLine="640" w:firstLineChars="20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2.耗材物料管理</w:t>
      </w:r>
    </w:p>
    <w:p w14:paraId="7A249A21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（1）检录时裁判检查选手自带工具，危险刀具禁止带入工位。</w:t>
      </w:r>
    </w:p>
    <w:p w14:paraId="6939D19B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（2）赛场底料、绣线由组委会统一配发，禁止自带面料绣线。</w:t>
      </w:r>
    </w:p>
    <w:p w14:paraId="6A2B1D9E">
      <w:pPr>
        <w:keepNext/>
        <w:spacing w:after="0" w:line="620" w:lineRule="exact"/>
        <w:ind w:firstLine="640" w:firstLineChars="20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3.防火防爆</w:t>
      </w:r>
    </w:p>
    <w:p w14:paraId="131C2F56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赛场全面禁烟，严禁打火机、明火；丝线、碎料及时放入指定垃圾桶，工位周边不堆积绣线碎料，消除火灾隐患。</w:t>
      </w:r>
    </w:p>
    <w:p w14:paraId="3B50B02A">
      <w:pPr>
        <w:keepNext/>
        <w:spacing w:after="0" w:line="620" w:lineRule="exact"/>
        <w:ind w:firstLine="640" w:firstLineChars="20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4.绿色环保</w:t>
      </w:r>
    </w:p>
    <w:p w14:paraId="2182FE65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（1）节约绣线、底料，杜绝恶意浪费。</w:t>
      </w:r>
    </w:p>
    <w:p w14:paraId="396638F1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（2）丝线碎料、废纸分类投入对应垃圾桶。</w:t>
      </w:r>
    </w:p>
    <w:p w14:paraId="21A33DA2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（3）竞赛结束清理工位、工具归位、关闭台灯电源，台面整洁，经裁判确认后方可离场。</w:t>
      </w:r>
    </w:p>
    <w:p w14:paraId="0E803FA7">
      <w:pPr>
        <w:keepNext/>
        <w:spacing w:after="0" w:line="620" w:lineRule="exact"/>
        <w:ind w:firstLine="640" w:firstLineChars="200"/>
        <w:rPr>
          <w:rFonts w:hint="eastAsia" w:ascii="楷体" w:hAnsi="楷体" w:eastAsia="楷体" w:cs="楷体"/>
          <w:bCs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Cs/>
          <w:color w:val="000000"/>
          <w:sz w:val="32"/>
          <w:szCs w:val="32"/>
        </w:rPr>
        <w:t>（三）医疗设备和措施</w:t>
      </w:r>
    </w:p>
    <w:p w14:paraId="6916AE4D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1.赛场设置固定医疗点，急救箱配备创可贴、碘伏、纱布、止血用品，处置针刺划伤、磕碰外伤。</w:t>
      </w:r>
    </w:p>
    <w:p w14:paraId="2629A880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2.配备在岗执业医护人员，发生重大伤病可对接就近医院绿色通道。</w:t>
      </w:r>
    </w:p>
    <w:p w14:paraId="2731F8E3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3.选手受伤处置后仍可继续参赛的，裁判长视中断时长确定补时，单次补时最高不超过30分钟；无法继续参赛的，按已完成模块计分。</w:t>
      </w:r>
    </w:p>
    <w:p w14:paraId="4325F3C2">
      <w:pPr>
        <w:keepNext/>
        <w:spacing w:after="0" w:line="620" w:lineRule="exact"/>
        <w:ind w:firstLine="640" w:firstLineChars="200"/>
        <w:rPr>
          <w:rFonts w:hint="eastAsia" w:ascii="楷体" w:hAnsi="楷体" w:eastAsia="楷体" w:cs="楷体"/>
          <w:bCs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Cs/>
          <w:color w:val="000000"/>
          <w:sz w:val="32"/>
          <w:szCs w:val="32"/>
        </w:rPr>
        <w:t>（四）其他</w:t>
      </w:r>
    </w:p>
    <w:p w14:paraId="22052468">
      <w:pPr>
        <w:spacing w:after="0" w:line="620" w:lineRule="exact"/>
        <w:ind w:firstLine="480"/>
        <w:rPr>
          <w:rFonts w:ascii="Times New Roman" w:hAnsi="Times New Roman" w:eastAsia="仿宋" w:cs="仿宋"/>
          <w:sz w:val="32"/>
          <w:szCs w:val="32"/>
        </w:rPr>
      </w:pPr>
      <w:r>
        <w:rPr>
          <w:rFonts w:hint="eastAsia" w:ascii="Times New Roman" w:hAnsi="Times New Roman" w:eastAsia="仿宋" w:cs="仿宋"/>
          <w:color w:val="000000"/>
          <w:sz w:val="32"/>
          <w:szCs w:val="32"/>
        </w:rPr>
        <w:t>本技术文件未涵盖的事项，由大赛组委会、技术专家组共同协商，另行发布通知。</w:t>
      </w:r>
    </w:p>
    <w:sectPr>
      <w:footerReference r:id="rId6" w:type="default"/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altName w:val="等线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ESI宋体-GB2312">
    <w:altName w:val="微软雅黑"/>
    <w:panose1 w:val="00000000000000000000"/>
    <w:charset w:val="86"/>
    <w:family w:val="auto"/>
    <w:pitch w:val="default"/>
    <w:sig w:usb0="00000000" w:usb1="00000000" w:usb2="00000010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050A7C0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516534">
    <w:pPr>
      <w:pStyle w:val="12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2A3CBE">
                          <w:pPr>
                            <w:pStyle w:val="12"/>
                            <w:rPr>
                              <w:rFonts w:hint="eastAsia"/>
                            </w:rPr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2A3CBE">
                    <w:pPr>
                      <w:pStyle w:val="12"/>
                      <w:rPr>
                        <w:rFonts w:hint="eastAsia"/>
                      </w:rPr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AB18EF">
    <w:pPr>
      <w:pStyle w:val="12"/>
      <w:jc w:val="center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2C798B">
                          <w:pPr>
                            <w:pStyle w:val="12"/>
                            <w:rPr>
                              <w:rFonts w:hint="eastAsia" w:ascii="CESI宋体-GB2312" w:hAnsi="CESI宋体-GB2312" w:eastAsia="CESI宋体-GB2312" w:cs="CESI宋体-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CESI宋体-GB2312" w:hAnsi="CESI宋体-GB2312" w:eastAsia="CESI宋体-GB2312" w:cs="CESI宋体-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CESI宋体-GB2312" w:hAnsi="CESI宋体-GB2312" w:eastAsia="CESI宋体-GB2312" w:cs="CESI宋体-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CESI宋体-GB2312" w:hAnsi="CESI宋体-GB2312" w:eastAsia="CESI宋体-GB2312" w:cs="CESI宋体-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CESI宋体-GB2312" w:hAnsi="CESI宋体-GB2312" w:eastAsia="CESI宋体-GB2312" w:cs="CESI宋体-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CESI宋体-GB2312" w:hAnsi="CESI宋体-GB2312" w:eastAsia="CESI宋体-GB2312" w:cs="CESI宋体-GB2312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CESI宋体-GB2312" w:hAnsi="CESI宋体-GB2312" w:eastAsia="CESI宋体-GB2312" w:cs="CESI宋体-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CESI宋体-GB2312" w:hAnsi="CESI宋体-GB2312" w:eastAsia="CESI宋体-GB2312" w:cs="CESI宋体-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2C798B">
                    <w:pPr>
                      <w:pStyle w:val="12"/>
                      <w:rPr>
                        <w:rFonts w:hint="eastAsia" w:ascii="CESI宋体-GB2312" w:hAnsi="CESI宋体-GB2312" w:eastAsia="CESI宋体-GB2312" w:cs="CESI宋体-GB2312"/>
                        <w:sz w:val="28"/>
                        <w:szCs w:val="28"/>
                      </w:rPr>
                    </w:pPr>
                    <w:r>
                      <w:rPr>
                        <w:rFonts w:hint="eastAsia" w:ascii="CESI宋体-GB2312" w:hAnsi="CESI宋体-GB2312" w:eastAsia="CESI宋体-GB2312" w:cs="CESI宋体-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CESI宋体-GB2312" w:hAnsi="CESI宋体-GB2312" w:eastAsia="CESI宋体-GB2312" w:cs="CESI宋体-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CESI宋体-GB2312" w:hAnsi="CESI宋体-GB2312" w:eastAsia="CESI宋体-GB2312" w:cs="CESI宋体-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CESI宋体-GB2312" w:hAnsi="CESI宋体-GB2312" w:eastAsia="CESI宋体-GB2312" w:cs="CESI宋体-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CESI宋体-GB2312" w:hAnsi="CESI宋体-GB2312" w:eastAsia="CESI宋体-GB2312" w:cs="CESI宋体-GB2312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CESI宋体-GB2312" w:hAnsi="CESI宋体-GB2312" w:eastAsia="CESI宋体-GB2312" w:cs="CESI宋体-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CESI宋体-GB2312" w:hAnsi="CESI宋体-GB2312" w:eastAsia="CESI宋体-GB2312" w:cs="CESI宋体-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F2C"/>
    <w:rsid w:val="000B4992"/>
    <w:rsid w:val="00132510"/>
    <w:rsid w:val="001571B8"/>
    <w:rsid w:val="00194C10"/>
    <w:rsid w:val="001A254C"/>
    <w:rsid w:val="002423E6"/>
    <w:rsid w:val="002D2F2C"/>
    <w:rsid w:val="003572A2"/>
    <w:rsid w:val="003D1E3A"/>
    <w:rsid w:val="0040559E"/>
    <w:rsid w:val="004B7861"/>
    <w:rsid w:val="004C0938"/>
    <w:rsid w:val="00530682"/>
    <w:rsid w:val="0054518E"/>
    <w:rsid w:val="00625DA5"/>
    <w:rsid w:val="00974346"/>
    <w:rsid w:val="009D1568"/>
    <w:rsid w:val="00A04979"/>
    <w:rsid w:val="00C02066"/>
    <w:rsid w:val="00C02E9A"/>
    <w:rsid w:val="00C65903"/>
    <w:rsid w:val="00CC7FC9"/>
    <w:rsid w:val="00D449B4"/>
    <w:rsid w:val="00D94FD0"/>
    <w:rsid w:val="00E219C7"/>
    <w:rsid w:val="00EA6D06"/>
    <w:rsid w:val="00EE09FF"/>
    <w:rsid w:val="00EF5884"/>
    <w:rsid w:val="02FC722D"/>
    <w:rsid w:val="17F37848"/>
    <w:rsid w:val="3948ED9F"/>
    <w:rsid w:val="3EDF4FA4"/>
    <w:rsid w:val="3EFC1DEF"/>
    <w:rsid w:val="47610763"/>
    <w:rsid w:val="597DA81C"/>
    <w:rsid w:val="5E7763AA"/>
    <w:rsid w:val="5EF51183"/>
    <w:rsid w:val="62C84A81"/>
    <w:rsid w:val="6BF50436"/>
    <w:rsid w:val="6D446076"/>
    <w:rsid w:val="77AF1D75"/>
    <w:rsid w:val="77FBF5BC"/>
    <w:rsid w:val="7ECD2669"/>
    <w:rsid w:val="7FE7DD70"/>
    <w:rsid w:val="7FEF5F01"/>
    <w:rsid w:val="7FFEC155"/>
    <w:rsid w:val="9FE4D3E5"/>
    <w:rsid w:val="A6DB3CDA"/>
    <w:rsid w:val="ACDF72CE"/>
    <w:rsid w:val="B8BF9BFE"/>
    <w:rsid w:val="CEF11D9E"/>
    <w:rsid w:val="CFFBB36B"/>
    <w:rsid w:val="D0BE2D2C"/>
    <w:rsid w:val="D73B2F28"/>
    <w:rsid w:val="DDAFF063"/>
    <w:rsid w:val="EBF3CCD2"/>
    <w:rsid w:val="ECB7D4B0"/>
    <w:rsid w:val="EE789708"/>
    <w:rsid w:val="EF461AE4"/>
    <w:rsid w:val="F3FF1CC4"/>
    <w:rsid w:val="F5EFE77D"/>
    <w:rsid w:val="F7AF8B18"/>
    <w:rsid w:val="F7BBE169"/>
    <w:rsid w:val="F7FDE339"/>
    <w:rsid w:val="FAFF2A0F"/>
    <w:rsid w:val="FB347821"/>
    <w:rsid w:val="FBFEF99A"/>
    <w:rsid w:val="FFB57F89"/>
    <w:rsid w:val="FFDF2A92"/>
    <w:rsid w:val="FFE98B90"/>
    <w:rsid w:val="FFE9A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ate"/>
    <w:basedOn w:val="1"/>
    <w:next w:val="1"/>
    <w:link w:val="39"/>
    <w:semiHidden/>
    <w:unhideWhenUsed/>
    <w:qFormat/>
    <w:uiPriority w:val="99"/>
    <w:pPr>
      <w:ind w:left="100" w:leftChars="2500"/>
    </w:pPr>
  </w:style>
  <w:style w:type="paragraph" w:styleId="12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99"/>
    <w:pPr>
      <w:widowControl w:val="0"/>
      <w:spacing w:after="0" w:line="240" w:lineRule="auto"/>
      <w:jc w:val="both"/>
    </w:pPr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4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8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8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38">
    <w:name w:val="页脚 字符"/>
    <w:basedOn w:val="18"/>
    <w:link w:val="12"/>
    <w:qFormat/>
    <w:uiPriority w:val="99"/>
    <w:rPr>
      <w:sz w:val="18"/>
      <w:szCs w:val="18"/>
    </w:rPr>
  </w:style>
  <w:style w:type="character" w:customStyle="1" w:styleId="39">
    <w:name w:val="日期 字符"/>
    <w:basedOn w:val="18"/>
    <w:link w:val="11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18</Pages>
  <Words>770</Words>
  <Characters>797</Characters>
  <Lines>371</Lines>
  <Paragraphs>399</Paragraphs>
  <TotalTime>32</TotalTime>
  <ScaleCrop>false</ScaleCrop>
  <LinksUpToDate>false</LinksUpToDate>
  <CharactersWithSpaces>801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2026-10-30T22:23:00Z</dcterms:created>
  <dc:creator>253411512@qq.com</dc:creator>
  <cp:lastModifiedBy>马澌铭</cp:lastModifiedBy>
  <dcterms:modified xsi:type="dcterms:W3CDTF">2026-11-04T07:55:15Z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eyJoZGlkIjoiNTRiMjk4M2QzMmYyZGVlZjcyOWIyZGI1ODBiZmJjNDMiLCJ1c2VySWQiOiI0OTU4ODU3MDcifQ==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BA5374CCFFD148BDBC850CE9858968FA_13</vt:lpwstr>
  </property>
</Properties>
</file>